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614" w:rsidRDefault="002A3614" w:rsidP="00DC3D7A">
      <w:pPr>
        <w:spacing w:beforeLines="1" w:afterLines="1"/>
        <w:outlineLvl w:val="0"/>
        <w:rPr>
          <w:rFonts w:ascii="Times New Roman" w:hAnsi="Times New Roman" w:cs="Times New Roman"/>
          <w:b/>
        </w:rPr>
      </w:pPr>
    </w:p>
    <w:p w:rsidR="002A3614" w:rsidRDefault="002A3614" w:rsidP="00DC3D7A">
      <w:pPr>
        <w:spacing w:beforeLines="1" w:afterLines="1"/>
        <w:outlineLvl w:val="0"/>
        <w:rPr>
          <w:rFonts w:ascii="Times New Roman" w:hAnsi="Times New Roman" w:cs="Times New Roman"/>
          <w:b/>
        </w:rPr>
      </w:pPr>
    </w:p>
    <w:p w:rsidR="0015202C" w:rsidRDefault="0015202C" w:rsidP="00DC3D7A">
      <w:pPr>
        <w:spacing w:beforeLines="1" w:afterLines="1"/>
        <w:outlineLvl w:val="0"/>
        <w:rPr>
          <w:rFonts w:ascii="Times New Roman" w:hAnsi="Times New Roman" w:cs="Times New Roman"/>
          <w:b/>
        </w:rPr>
      </w:pPr>
      <w:r>
        <w:rPr>
          <w:rFonts w:ascii="Times New Roman" w:hAnsi="Times New Roman" w:cs="Times New Roman"/>
          <w:b/>
        </w:rPr>
        <w:t>Outline</w:t>
      </w:r>
    </w:p>
    <w:p w:rsidR="0015202C" w:rsidRPr="0015202C" w:rsidRDefault="0015202C" w:rsidP="00DC3D7A">
      <w:pPr>
        <w:pStyle w:val="ListParagraph"/>
        <w:numPr>
          <w:ilvl w:val="0"/>
          <w:numId w:val="3"/>
        </w:numPr>
        <w:spacing w:beforeLines="1" w:afterLines="1"/>
        <w:outlineLvl w:val="0"/>
        <w:rPr>
          <w:rFonts w:ascii="Times New Roman" w:hAnsi="Times New Roman" w:cs="Times New Roman"/>
          <w:b/>
          <w:sz w:val="24"/>
          <w:szCs w:val="24"/>
        </w:rPr>
      </w:pPr>
      <w:r w:rsidRPr="0015202C">
        <w:rPr>
          <w:rFonts w:ascii="Times New Roman" w:hAnsi="Times New Roman" w:cs="Times New Roman"/>
          <w:b/>
          <w:sz w:val="24"/>
          <w:szCs w:val="24"/>
        </w:rPr>
        <w:t>Context – historical and practice</w:t>
      </w:r>
    </w:p>
    <w:p w:rsidR="0015202C" w:rsidRPr="0015202C" w:rsidRDefault="0015202C" w:rsidP="00DC3D7A">
      <w:pPr>
        <w:pStyle w:val="ListParagraph"/>
        <w:numPr>
          <w:ilvl w:val="0"/>
          <w:numId w:val="3"/>
        </w:numPr>
        <w:spacing w:beforeLines="1" w:afterLines="1"/>
        <w:outlineLvl w:val="0"/>
        <w:rPr>
          <w:rFonts w:ascii="Times New Roman" w:hAnsi="Times New Roman" w:cs="Times New Roman"/>
          <w:b/>
          <w:sz w:val="24"/>
          <w:szCs w:val="24"/>
        </w:rPr>
      </w:pPr>
      <w:r w:rsidRPr="0015202C">
        <w:rPr>
          <w:rFonts w:ascii="Times New Roman" w:hAnsi="Times New Roman" w:cs="Times New Roman"/>
          <w:b/>
          <w:sz w:val="24"/>
          <w:szCs w:val="24"/>
        </w:rPr>
        <w:t>Connecting change initiatives</w:t>
      </w:r>
    </w:p>
    <w:p w:rsidR="0015202C" w:rsidRPr="0015202C" w:rsidRDefault="0015202C" w:rsidP="00DC3D7A">
      <w:pPr>
        <w:pStyle w:val="ListParagraph"/>
        <w:numPr>
          <w:ilvl w:val="0"/>
          <w:numId w:val="3"/>
        </w:numPr>
        <w:spacing w:beforeLines="1" w:afterLines="1"/>
        <w:outlineLvl w:val="0"/>
        <w:rPr>
          <w:rFonts w:ascii="Times New Roman" w:hAnsi="Times New Roman" w:cs="Times New Roman"/>
          <w:b/>
          <w:sz w:val="24"/>
          <w:szCs w:val="24"/>
        </w:rPr>
      </w:pPr>
      <w:r w:rsidRPr="0015202C">
        <w:rPr>
          <w:rFonts w:ascii="Times New Roman" w:hAnsi="Times New Roman" w:cs="Times New Roman"/>
          <w:b/>
          <w:sz w:val="24"/>
          <w:szCs w:val="24"/>
        </w:rPr>
        <w:t>The urgency of now</w:t>
      </w:r>
    </w:p>
    <w:p w:rsidR="0015202C" w:rsidRPr="0015202C" w:rsidRDefault="0015202C" w:rsidP="00DC3D7A">
      <w:pPr>
        <w:pStyle w:val="ListParagraph"/>
        <w:numPr>
          <w:ilvl w:val="0"/>
          <w:numId w:val="3"/>
        </w:numPr>
        <w:spacing w:beforeLines="1" w:afterLines="1"/>
        <w:outlineLvl w:val="0"/>
        <w:rPr>
          <w:rFonts w:ascii="Times New Roman" w:hAnsi="Times New Roman" w:cs="Times New Roman"/>
          <w:b/>
          <w:sz w:val="24"/>
          <w:szCs w:val="24"/>
        </w:rPr>
      </w:pPr>
      <w:r w:rsidRPr="0015202C">
        <w:rPr>
          <w:rFonts w:ascii="Times New Roman" w:hAnsi="Times New Roman" w:cs="Times New Roman"/>
          <w:b/>
          <w:sz w:val="24"/>
          <w:szCs w:val="24"/>
        </w:rPr>
        <w:t>Policy Recommendations</w:t>
      </w:r>
    </w:p>
    <w:p w:rsidR="00CA507F" w:rsidRDefault="00CA507F" w:rsidP="00DC3D7A">
      <w:pPr>
        <w:spacing w:beforeLines="1" w:afterLines="1"/>
        <w:outlineLvl w:val="0"/>
        <w:rPr>
          <w:rFonts w:ascii="Times New Roman" w:hAnsi="Times New Roman" w:cs="Times New Roman"/>
          <w:b/>
        </w:rPr>
      </w:pPr>
    </w:p>
    <w:p w:rsidR="0015202C" w:rsidRDefault="0015202C" w:rsidP="00DC3D7A">
      <w:pPr>
        <w:spacing w:beforeLines="1" w:afterLines="1"/>
        <w:outlineLvl w:val="0"/>
        <w:rPr>
          <w:rFonts w:ascii="Times New Roman" w:hAnsi="Times New Roman" w:cs="Times New Roman"/>
          <w:b/>
        </w:rPr>
      </w:pPr>
      <w:r>
        <w:rPr>
          <w:rFonts w:ascii="Times New Roman" w:hAnsi="Times New Roman" w:cs="Times New Roman"/>
          <w:b/>
        </w:rPr>
        <w:t>Executive Summary (one page)</w:t>
      </w:r>
    </w:p>
    <w:p w:rsidR="0015202C" w:rsidRDefault="0015202C" w:rsidP="00DC3D7A">
      <w:pPr>
        <w:spacing w:beforeLines="1" w:afterLines="1"/>
        <w:outlineLvl w:val="0"/>
        <w:rPr>
          <w:rFonts w:ascii="Times New Roman" w:hAnsi="Times New Roman" w:cs="Times New Roman"/>
          <w:b/>
        </w:rPr>
      </w:pPr>
    </w:p>
    <w:p w:rsidR="00CA507F" w:rsidRDefault="00CA507F" w:rsidP="0015202C">
      <w:pPr>
        <w:rPr>
          <w:rFonts w:ascii="Times New Roman" w:hAnsi="Times New Roman" w:cs="Times New Roman"/>
          <w:b/>
        </w:rPr>
      </w:pPr>
    </w:p>
    <w:p w:rsidR="00CA507F" w:rsidRDefault="00CA507F" w:rsidP="0015202C">
      <w:pPr>
        <w:rPr>
          <w:rFonts w:ascii="Times New Roman" w:hAnsi="Times New Roman" w:cs="Times New Roman"/>
          <w:b/>
        </w:rPr>
      </w:pPr>
    </w:p>
    <w:p w:rsidR="0015202C" w:rsidRPr="00834944" w:rsidRDefault="0015202C" w:rsidP="0015202C">
      <w:pPr>
        <w:rPr>
          <w:rFonts w:ascii="Times New Roman" w:hAnsi="Times New Roman" w:cs="Times New Roman"/>
          <w:b/>
        </w:rPr>
      </w:pPr>
      <w:bookmarkStart w:id="0" w:name="_GoBack"/>
      <w:bookmarkEnd w:id="0"/>
      <w:r w:rsidRPr="00834944">
        <w:rPr>
          <w:rFonts w:ascii="Times New Roman" w:hAnsi="Times New Roman" w:cs="Times New Roman"/>
          <w:b/>
        </w:rPr>
        <w:t xml:space="preserve">Full Participation: </w:t>
      </w:r>
      <w:r w:rsidR="00827EA7">
        <w:rPr>
          <w:rFonts w:ascii="Times New Roman" w:hAnsi="Times New Roman" w:cs="Times New Roman"/>
          <w:b/>
        </w:rPr>
        <w:t xml:space="preserve">Systemic Integration of </w:t>
      </w:r>
      <w:r>
        <w:rPr>
          <w:rFonts w:ascii="Times New Roman" w:hAnsi="Times New Roman" w:cs="Times New Roman"/>
          <w:b/>
        </w:rPr>
        <w:t xml:space="preserve">Civic </w:t>
      </w:r>
      <w:r w:rsidRPr="00834944">
        <w:rPr>
          <w:rFonts w:ascii="Times New Roman" w:hAnsi="Times New Roman" w:cs="Times New Roman"/>
          <w:b/>
        </w:rPr>
        <w:t>Engagement, Diversity, and the Postsecondary Success of Underserved Students</w:t>
      </w:r>
    </w:p>
    <w:p w:rsidR="0015202C" w:rsidRPr="00834944" w:rsidRDefault="0015202C" w:rsidP="00DC3D7A">
      <w:pPr>
        <w:spacing w:beforeLines="1" w:afterLines="1"/>
        <w:ind w:left="720"/>
        <w:rPr>
          <w:rFonts w:ascii="Times New Roman" w:hAnsi="Times New Roman" w:cs="Times New Roman"/>
        </w:rPr>
      </w:pPr>
    </w:p>
    <w:p w:rsidR="00556A99" w:rsidRDefault="00556A99" w:rsidP="00DC3D7A">
      <w:pPr>
        <w:spacing w:beforeLines="1" w:afterLines="1"/>
        <w:ind w:left="720"/>
        <w:rPr>
          <w:rFonts w:ascii="Times New Roman" w:hAnsi="Times New Roman" w:cs="Times New Roman"/>
          <w:i/>
        </w:rPr>
      </w:pPr>
    </w:p>
    <w:p w:rsidR="00556A99" w:rsidRPr="00556A99" w:rsidRDefault="00556A99" w:rsidP="00DC3D7A">
      <w:pPr>
        <w:spacing w:beforeLines="1" w:afterLines="1"/>
        <w:ind w:left="720"/>
        <w:jc w:val="center"/>
        <w:rPr>
          <w:rFonts w:ascii="Times New Roman" w:hAnsi="Times New Roman" w:cs="Times New Roman"/>
          <w:b/>
        </w:rPr>
      </w:pPr>
      <w:r>
        <w:rPr>
          <w:rFonts w:ascii="Times New Roman" w:hAnsi="Times New Roman" w:cs="Times New Roman"/>
          <w:b/>
        </w:rPr>
        <w:t>I.</w:t>
      </w:r>
      <w:r w:rsidR="00EF1443">
        <w:rPr>
          <w:rFonts w:ascii="Times New Roman" w:hAnsi="Times New Roman" w:cs="Times New Roman"/>
          <w:b/>
        </w:rPr>
        <w:t xml:space="preserve"> Context</w:t>
      </w:r>
    </w:p>
    <w:p w:rsidR="00556A99" w:rsidRDefault="00556A99" w:rsidP="00DC3D7A">
      <w:pPr>
        <w:spacing w:beforeLines="1" w:afterLines="1"/>
        <w:ind w:left="720"/>
        <w:rPr>
          <w:rFonts w:ascii="Times New Roman" w:hAnsi="Times New Roman" w:cs="Times New Roman"/>
          <w:i/>
        </w:rPr>
      </w:pPr>
    </w:p>
    <w:p w:rsidR="0015202C" w:rsidRPr="0015202C" w:rsidRDefault="0015202C" w:rsidP="00DC3D7A">
      <w:pPr>
        <w:spacing w:beforeLines="1" w:afterLines="1"/>
        <w:ind w:left="720"/>
        <w:rPr>
          <w:rFonts w:ascii="Times New Roman" w:hAnsi="Times New Roman" w:cs="Times New Roman"/>
        </w:rPr>
      </w:pPr>
      <w:r w:rsidRPr="00834944">
        <w:rPr>
          <w:rFonts w:ascii="Times New Roman" w:hAnsi="Times New Roman" w:cs="Times New Roman"/>
          <w:i/>
        </w:rPr>
        <w:t xml:space="preserve">The project of achieving inclusive institutions is not only about eliminating discrimination or even increasing the representation of previously excluded groups. It is about creating the conditions enabling people of all races and genders to realize their </w:t>
      </w:r>
      <w:proofErr w:type="gramStart"/>
      <w:r w:rsidRPr="00834944">
        <w:rPr>
          <w:rFonts w:ascii="Times New Roman" w:hAnsi="Times New Roman" w:cs="Times New Roman"/>
          <w:i/>
        </w:rPr>
        <w:t>capabilities</w:t>
      </w:r>
      <w:proofErr w:type="gramEnd"/>
      <w:r w:rsidRPr="00834944">
        <w:rPr>
          <w:rFonts w:ascii="Times New Roman" w:hAnsi="Times New Roman" w:cs="Times New Roman"/>
          <w:i/>
        </w:rPr>
        <w:t xml:space="preserve"> as they understand them. All institutional citizens should be able to realize their potential and participate fully in the life of the institution</w:t>
      </w:r>
      <w:r w:rsidRPr="00834944">
        <w:rPr>
          <w:rFonts w:ascii="Times New Roman" w:hAnsi="Times New Roman" w:cs="Times New Roman"/>
        </w:rPr>
        <w:t xml:space="preserve"> (Sturm, p. 4).</w:t>
      </w:r>
    </w:p>
    <w:p w:rsidR="0015202C" w:rsidRDefault="0015202C" w:rsidP="00DC3D7A">
      <w:pPr>
        <w:spacing w:beforeLines="1" w:afterLines="1"/>
        <w:outlineLvl w:val="0"/>
        <w:rPr>
          <w:rFonts w:ascii="Times New Roman" w:hAnsi="Times New Roman" w:cs="Times New Roman"/>
          <w:b/>
        </w:rPr>
      </w:pPr>
    </w:p>
    <w:p w:rsidR="00072FEF" w:rsidRPr="00827EA7" w:rsidRDefault="00FF0625" w:rsidP="00DC3D7A">
      <w:pPr>
        <w:spacing w:beforeLines="1" w:afterLines="1"/>
        <w:outlineLvl w:val="0"/>
        <w:rPr>
          <w:rFonts w:ascii="Times New Roman" w:hAnsi="Times New Roman" w:cs="Times New Roman"/>
        </w:rPr>
      </w:pPr>
      <w:r>
        <w:rPr>
          <w:rFonts w:ascii="Times New Roman" w:hAnsi="Times New Roman" w:cs="Times New Roman"/>
        </w:rPr>
        <w:t xml:space="preserve">URGENCY: PROBLEM STATEMENT.  </w:t>
      </w:r>
      <w:r w:rsidR="0042262A">
        <w:rPr>
          <w:rFonts w:ascii="Times New Roman" w:hAnsi="Times New Roman" w:cs="Times New Roman"/>
        </w:rPr>
        <w:t>For nearly a quarter century, higher e</w:t>
      </w:r>
      <w:r w:rsidR="0015202C" w:rsidRPr="0015202C">
        <w:rPr>
          <w:rFonts w:ascii="Times New Roman" w:hAnsi="Times New Roman" w:cs="Times New Roman"/>
        </w:rPr>
        <w:t>ducation institutions in the United States</w:t>
      </w:r>
      <w:r w:rsidR="0015202C">
        <w:rPr>
          <w:rFonts w:ascii="Times New Roman" w:hAnsi="Times New Roman" w:cs="Times New Roman"/>
        </w:rPr>
        <w:t xml:space="preserve"> have been challenged to change their organizational cultures in ways that provide opportunities for an increasingly diverse</w:t>
      </w:r>
      <w:r w:rsidR="00D504F9">
        <w:rPr>
          <w:rStyle w:val="FootnoteReference"/>
          <w:rFonts w:ascii="Times New Roman" w:hAnsi="Times New Roman" w:cs="Times New Roman"/>
        </w:rPr>
        <w:footnoteReference w:id="1"/>
      </w:r>
      <w:r w:rsidR="0015202C">
        <w:rPr>
          <w:rFonts w:ascii="Times New Roman" w:hAnsi="Times New Roman" w:cs="Times New Roman"/>
        </w:rPr>
        <w:t xml:space="preserve"> population of students and faculty to </w:t>
      </w:r>
      <w:r w:rsidR="00B34CA3">
        <w:rPr>
          <w:rFonts w:ascii="Times New Roman" w:hAnsi="Times New Roman" w:cs="Times New Roman"/>
        </w:rPr>
        <w:t xml:space="preserve">thrive and succeed. There is a long </w:t>
      </w:r>
      <w:r w:rsidR="0042262A">
        <w:rPr>
          <w:rFonts w:ascii="Times New Roman" w:hAnsi="Times New Roman" w:cs="Times New Roman"/>
        </w:rPr>
        <w:t xml:space="preserve">and rich </w:t>
      </w:r>
      <w:r w:rsidR="00B34CA3">
        <w:rPr>
          <w:rFonts w:ascii="Times New Roman" w:hAnsi="Times New Roman" w:cs="Times New Roman"/>
        </w:rPr>
        <w:t xml:space="preserve">history of the emergence of interdisciplinary units (ethnic studies, women’s studies, etc.) where women faculty and students and faculty and students of color </w:t>
      </w:r>
      <w:r w:rsidR="00556A99">
        <w:rPr>
          <w:rFonts w:ascii="Times New Roman" w:hAnsi="Times New Roman" w:cs="Times New Roman"/>
        </w:rPr>
        <w:t xml:space="preserve">have </w:t>
      </w:r>
      <w:r w:rsidR="00B34CA3">
        <w:rPr>
          <w:rFonts w:ascii="Times New Roman" w:hAnsi="Times New Roman" w:cs="Times New Roman"/>
        </w:rPr>
        <w:t xml:space="preserve">found homes in the academy for more engaged scholarship and inclusive pedagogical practices. There is also a long and </w:t>
      </w:r>
      <w:r w:rsidR="0042262A">
        <w:rPr>
          <w:rFonts w:ascii="Times New Roman" w:hAnsi="Times New Roman" w:cs="Times New Roman"/>
        </w:rPr>
        <w:t xml:space="preserve">complex </w:t>
      </w:r>
      <w:r w:rsidR="00B34CA3">
        <w:rPr>
          <w:rFonts w:ascii="Times New Roman" w:hAnsi="Times New Roman" w:cs="Times New Roman"/>
        </w:rPr>
        <w:t xml:space="preserve">history of using affirmative action as a policy to provide access for underrepresented students as a way to address the historical inequities of exclusion to education. </w:t>
      </w:r>
      <w:r w:rsidR="0042262A">
        <w:rPr>
          <w:rFonts w:ascii="Times New Roman" w:hAnsi="Times New Roman" w:cs="Times New Roman"/>
        </w:rPr>
        <w:t>Add</w:t>
      </w:r>
      <w:r w:rsidR="00D504F9">
        <w:rPr>
          <w:rFonts w:ascii="Times New Roman" w:hAnsi="Times New Roman" w:cs="Times New Roman"/>
        </w:rPr>
        <w:t>i</w:t>
      </w:r>
      <w:r w:rsidR="0042262A">
        <w:rPr>
          <w:rFonts w:ascii="Times New Roman" w:hAnsi="Times New Roman" w:cs="Times New Roman"/>
        </w:rPr>
        <w:t xml:space="preserve">tionally, campus diversity efforts </w:t>
      </w:r>
      <w:r w:rsidR="00D504F9">
        <w:rPr>
          <w:rFonts w:ascii="Times New Roman" w:hAnsi="Times New Roman" w:cs="Times New Roman"/>
        </w:rPr>
        <w:t xml:space="preserve">have proliferated with the creation of multi-cultural centers and more recently the appointment of executive level chief diversity officers. </w:t>
      </w:r>
      <w:r w:rsidR="00996FD7">
        <w:rPr>
          <w:rFonts w:ascii="Times New Roman" w:hAnsi="Times New Roman" w:cs="Times New Roman"/>
        </w:rPr>
        <w:t>Civic engagement efforts are</w:t>
      </w:r>
      <w:r w:rsidR="00D504F9" w:rsidRPr="00827EA7">
        <w:rPr>
          <w:rFonts w:ascii="Times New Roman" w:hAnsi="Times New Roman" w:cs="Times New Roman"/>
        </w:rPr>
        <w:t xml:space="preserve"> </w:t>
      </w:r>
      <w:r w:rsidR="00827EA7">
        <w:rPr>
          <w:rFonts w:ascii="Times New Roman" w:hAnsi="Times New Roman" w:cs="Times New Roman"/>
        </w:rPr>
        <w:t>traditionally disconnected from</w:t>
      </w:r>
      <w:r w:rsidR="00D504F9" w:rsidRPr="00827EA7">
        <w:rPr>
          <w:rFonts w:ascii="Times New Roman" w:hAnsi="Times New Roman" w:cs="Times New Roman"/>
        </w:rPr>
        <w:t xml:space="preserve"> campus diversity work, </w:t>
      </w:r>
      <w:r w:rsidR="00996FD7">
        <w:rPr>
          <w:rFonts w:ascii="Times New Roman" w:hAnsi="Times New Roman" w:cs="Times New Roman"/>
        </w:rPr>
        <w:t xml:space="preserve">yet </w:t>
      </w:r>
      <w:r w:rsidR="00D504F9" w:rsidRPr="00827EA7">
        <w:rPr>
          <w:rFonts w:ascii="Times New Roman" w:hAnsi="Times New Roman" w:cs="Times New Roman"/>
        </w:rPr>
        <w:t>often seeking diversity learning outcomes for students and partnerships with communities with diversity unrepresented on</w:t>
      </w:r>
      <w:r w:rsidR="00072FEF" w:rsidRPr="00827EA7">
        <w:rPr>
          <w:rFonts w:ascii="Times New Roman" w:hAnsi="Times New Roman" w:cs="Times New Roman"/>
        </w:rPr>
        <w:t xml:space="preserve"> campus</w:t>
      </w:r>
      <w:r w:rsidR="00996FD7">
        <w:rPr>
          <w:rFonts w:ascii="Times New Roman" w:hAnsi="Times New Roman" w:cs="Times New Roman"/>
        </w:rPr>
        <w:t>.</w:t>
      </w:r>
      <w:r w:rsidR="00D504F9" w:rsidRPr="00827EA7">
        <w:rPr>
          <w:rFonts w:ascii="Times New Roman" w:hAnsi="Times New Roman" w:cs="Times New Roman"/>
        </w:rPr>
        <w:t xml:space="preserve"> </w:t>
      </w:r>
    </w:p>
    <w:p w:rsidR="00072FEF" w:rsidRPr="002A3614" w:rsidRDefault="00072FEF" w:rsidP="00DC3D7A">
      <w:pPr>
        <w:spacing w:beforeLines="1" w:afterLines="1"/>
        <w:outlineLvl w:val="0"/>
        <w:rPr>
          <w:rFonts w:ascii="Times New Roman" w:hAnsi="Times New Roman" w:cs="Times New Roman"/>
          <w:highlight w:val="yellow"/>
        </w:rPr>
      </w:pPr>
    </w:p>
    <w:p w:rsidR="0015202C" w:rsidRDefault="0042262A" w:rsidP="00DC3D7A">
      <w:pPr>
        <w:spacing w:beforeLines="1" w:afterLines="1"/>
        <w:outlineLvl w:val="0"/>
        <w:rPr>
          <w:rFonts w:ascii="Times New Roman" w:hAnsi="Times New Roman" w:cs="Times New Roman"/>
        </w:rPr>
      </w:pPr>
      <w:r w:rsidRPr="00996FD7">
        <w:rPr>
          <w:rFonts w:ascii="Times New Roman" w:hAnsi="Times New Roman" w:cs="Times New Roman"/>
        </w:rPr>
        <w:t>While there have been successes in admissions and in changing the culture in parts of the campus, there has not been institution-wide, systematic efforts that have allowed diverse faculty and students to fully participate in the educational opportunities offered through higher education.</w:t>
      </w:r>
      <w:r w:rsidR="00D504F9">
        <w:rPr>
          <w:rFonts w:ascii="Times New Roman" w:hAnsi="Times New Roman" w:cs="Times New Roman"/>
        </w:rPr>
        <w:t xml:space="preserve"> Full participation requires a systematic focus on </w:t>
      </w:r>
      <w:r w:rsidR="00996FD7">
        <w:rPr>
          <w:rFonts w:ascii="Times New Roman" w:hAnsi="Times New Roman" w:cs="Times New Roman"/>
        </w:rPr>
        <w:t xml:space="preserve">integrative </w:t>
      </w:r>
      <w:r w:rsidR="00D504F9">
        <w:rPr>
          <w:rFonts w:ascii="Times New Roman" w:hAnsi="Times New Roman" w:cs="Times New Roman"/>
        </w:rPr>
        <w:t xml:space="preserve">organizational change across institutions of higher education. It also requires an approach to diversity and to civic </w:t>
      </w:r>
      <w:r w:rsidR="00556A99">
        <w:rPr>
          <w:rFonts w:ascii="Times New Roman" w:hAnsi="Times New Roman" w:cs="Times New Roman"/>
        </w:rPr>
        <w:t>engagement that move both from being formulated as desired and valuable outcomes to a place where both are the means to achieving the larger purpose of full participation in education and a wider public culture of democracy</w:t>
      </w:r>
      <w:r w:rsidR="00EF1443">
        <w:rPr>
          <w:rFonts w:ascii="Times New Roman" w:hAnsi="Times New Roman" w:cs="Times New Roman"/>
        </w:rPr>
        <w:t xml:space="preserve"> (Saltmarsh, Hartley, and Clayton, 2008)</w:t>
      </w:r>
      <w:r w:rsidR="00556A99">
        <w:rPr>
          <w:rFonts w:ascii="Times New Roman" w:hAnsi="Times New Roman" w:cs="Times New Roman"/>
        </w:rPr>
        <w:t>.</w:t>
      </w:r>
    </w:p>
    <w:p w:rsidR="0015202C" w:rsidRDefault="0015202C" w:rsidP="00DC3D7A">
      <w:pPr>
        <w:spacing w:beforeLines="1" w:afterLines="1"/>
        <w:outlineLvl w:val="0"/>
        <w:rPr>
          <w:rFonts w:ascii="Times New Roman" w:hAnsi="Times New Roman" w:cs="Times New Roman"/>
          <w:b/>
        </w:rPr>
      </w:pPr>
    </w:p>
    <w:p w:rsidR="0015202C" w:rsidRPr="00834944" w:rsidRDefault="00556A99" w:rsidP="00DC3D7A">
      <w:pPr>
        <w:spacing w:beforeLines="1" w:afterLines="1"/>
        <w:outlineLvl w:val="0"/>
        <w:rPr>
          <w:rFonts w:ascii="Times New Roman" w:hAnsi="Times New Roman" w:cs="Times New Roman"/>
        </w:rPr>
      </w:pPr>
      <w:r>
        <w:rPr>
          <w:rFonts w:ascii="Times New Roman" w:hAnsi="Times New Roman" w:cs="Times New Roman"/>
        </w:rPr>
        <w:t xml:space="preserve">A </w:t>
      </w:r>
      <w:r w:rsidR="00BE73CF">
        <w:rPr>
          <w:rFonts w:ascii="Times New Roman" w:hAnsi="Times New Roman" w:cs="Times New Roman"/>
        </w:rPr>
        <w:t>systemic</w:t>
      </w:r>
      <w:r>
        <w:rPr>
          <w:rFonts w:ascii="Times New Roman" w:hAnsi="Times New Roman" w:cs="Times New Roman"/>
        </w:rPr>
        <w:t xml:space="preserve"> approach to diversity and civic engagement in higher education </w:t>
      </w:r>
      <w:r w:rsidR="0015202C" w:rsidRPr="00834944">
        <w:rPr>
          <w:rFonts w:ascii="Times New Roman" w:hAnsi="Times New Roman" w:cs="Times New Roman"/>
        </w:rPr>
        <w:t>(</w:t>
      </w:r>
      <w:r w:rsidRPr="00834944">
        <w:rPr>
          <w:rFonts w:ascii="Times New Roman" w:hAnsi="Times New Roman" w:cs="Times New Roman"/>
        </w:rPr>
        <w:t>Sturm</w:t>
      </w:r>
      <w:r>
        <w:rPr>
          <w:rFonts w:ascii="Times New Roman" w:hAnsi="Times New Roman" w:cs="Times New Roman"/>
        </w:rPr>
        <w:t>,</w:t>
      </w:r>
      <w:r w:rsidRPr="00834944">
        <w:rPr>
          <w:rFonts w:ascii="Times New Roman" w:hAnsi="Times New Roman" w:cs="Times New Roman"/>
        </w:rPr>
        <w:t xml:space="preserve"> </w:t>
      </w:r>
      <w:r w:rsidR="0015202C" w:rsidRPr="00834944">
        <w:rPr>
          <w:rFonts w:ascii="Times New Roman" w:hAnsi="Times New Roman" w:cs="Times New Roman"/>
        </w:rPr>
        <w:t xml:space="preserve">2006) frames inclusiveness as a core institutional value and democratic imperative for institutions of higher education. </w:t>
      </w:r>
      <w:r>
        <w:rPr>
          <w:rFonts w:ascii="Times New Roman" w:hAnsi="Times New Roman" w:cs="Times New Roman"/>
        </w:rPr>
        <w:t>It</w:t>
      </w:r>
      <w:r w:rsidR="0015202C" w:rsidRPr="00834944">
        <w:rPr>
          <w:rFonts w:ascii="Times New Roman" w:hAnsi="Times New Roman" w:cs="Times New Roman"/>
        </w:rPr>
        <w:t xml:space="preserve"> is grounded in the understanding that institutions of higher education will not embrace diversity for diversity’s sake, nor will they embrace civic engagement for the sake of civic engagement. Both diversity and civic engagement need to be pursued as means to a larger and more central aim of building inclusive organizatio</w:t>
      </w:r>
      <w:r w:rsidR="0015202C">
        <w:rPr>
          <w:rFonts w:ascii="Times New Roman" w:hAnsi="Times New Roman" w:cs="Times New Roman"/>
        </w:rPr>
        <w:t xml:space="preserve">ns in which all of its members </w:t>
      </w:r>
      <w:r w:rsidR="0015202C" w:rsidRPr="00834944">
        <w:rPr>
          <w:rFonts w:ascii="Times New Roman" w:hAnsi="Times New Roman" w:cs="Times New Roman"/>
        </w:rPr>
        <w:t>realize their full potential through full participation in the life of the organization. The concept of full participation through “institutional citizenship” is based on the premise that the fundamental goals of a democratic culture include social justice and equity. Full participation, Sturm argues, can be achieved through institutional transformation built upon an “architecture of inclusion” that incorporates new normative frameworks of knowledge generation and discovery, more active pedagogical practices, expanded research priorities and methods, reward policies that recognize a broad spectrum of scholarship, and more robust environmental supports. As Sturm writes, “there is a framework and methodology for pursuing inclusive institutions and for building the architecture to sustain the practice of inclusiveness (p. 4).” The principle of full participation, applied to organizations, establishes  “institutional citizenship” as a core value.</w:t>
      </w:r>
    </w:p>
    <w:p w:rsidR="0015202C" w:rsidRPr="00834944" w:rsidRDefault="0015202C" w:rsidP="00DC3D7A">
      <w:pPr>
        <w:spacing w:beforeLines="1" w:afterLines="1"/>
        <w:outlineLvl w:val="0"/>
        <w:rPr>
          <w:rFonts w:ascii="Times New Roman" w:hAnsi="Times New Roman" w:cs="Times New Roman"/>
        </w:rPr>
      </w:pPr>
    </w:p>
    <w:p w:rsidR="0015202C" w:rsidRDefault="0015202C" w:rsidP="0015202C"/>
    <w:p w:rsidR="0015202C" w:rsidRPr="00556A99" w:rsidRDefault="00556A99" w:rsidP="00556A99">
      <w:pPr>
        <w:jc w:val="center"/>
        <w:rPr>
          <w:b/>
        </w:rPr>
      </w:pPr>
      <w:r>
        <w:rPr>
          <w:b/>
        </w:rPr>
        <w:t>II.</w:t>
      </w:r>
      <w:r w:rsidR="00EF1443">
        <w:rPr>
          <w:b/>
        </w:rPr>
        <w:t xml:space="preserve"> Connecting Change Initiatives</w:t>
      </w:r>
    </w:p>
    <w:p w:rsidR="0015202C" w:rsidRPr="00834944" w:rsidRDefault="0015202C" w:rsidP="00DC3D7A">
      <w:pPr>
        <w:spacing w:beforeLines="1" w:afterLines="1"/>
        <w:rPr>
          <w:rFonts w:ascii="Times New Roman" w:hAnsi="Times New Roman" w:cs="Times New Roman"/>
        </w:rPr>
      </w:pPr>
    </w:p>
    <w:p w:rsidR="005B154F" w:rsidRDefault="00AF2EB3" w:rsidP="001520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 xml:space="preserve">Ceiling that is created that can only be overcome </w:t>
      </w:r>
      <w:r w:rsidR="005B154F">
        <w:rPr>
          <w:rFonts w:ascii="Times New Roman" w:hAnsi="Times New Roman" w:cs="Times New Roman"/>
        </w:rPr>
        <w:t xml:space="preserve">if these things are brought together.  </w:t>
      </w:r>
    </w:p>
    <w:p w:rsidR="005B154F" w:rsidRDefault="005B154F" w:rsidP="001520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EF1443" w:rsidRDefault="00FF0625" w:rsidP="001520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 xml:space="preserve">IS IT A FUNDAMENTAL REORIENTATION?  </w:t>
      </w:r>
      <w:r w:rsidR="00EF1443" w:rsidRPr="00834944">
        <w:rPr>
          <w:rFonts w:ascii="Times New Roman" w:hAnsi="Times New Roman" w:cs="Times New Roman"/>
        </w:rPr>
        <w:t xml:space="preserve">Full participation calls for a fundamental reorientation of higher education toward addressing equity and opportunity in deeper, systemic, more complex, and more transformative ways. Above all, it requires examining faculty, students, and institutional policies in relation to one another. </w:t>
      </w:r>
    </w:p>
    <w:p w:rsidR="00EF1443" w:rsidRDefault="00EF1443" w:rsidP="001520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072FEF" w:rsidRDefault="0015202C" w:rsidP="001520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834944">
        <w:rPr>
          <w:rFonts w:ascii="Times New Roman" w:hAnsi="Times New Roman" w:cs="Times New Roman"/>
        </w:rPr>
        <w:t xml:space="preserve">Achieving the full participation of diverse students and diverse faculty in higher education and beyond--in democratic communities and civic institutions--requires systemic inquiry and action focused on a set of connections that has yet to be rigorously addressed: the </w:t>
      </w:r>
      <w:r w:rsidR="00BE73CF">
        <w:rPr>
          <w:rFonts w:ascii="Times New Roman" w:hAnsi="Times New Roman" w:cs="Times New Roman"/>
        </w:rPr>
        <w:t>integration of</w:t>
      </w:r>
    </w:p>
    <w:p w:rsidR="00EF1443" w:rsidRDefault="0015202C" w:rsidP="001520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834944">
        <w:rPr>
          <w:rFonts w:ascii="Times New Roman" w:hAnsi="Times New Roman" w:cs="Times New Roman"/>
        </w:rPr>
        <w:t xml:space="preserve"> </w:t>
      </w:r>
    </w:p>
    <w:p w:rsidR="00EF1443" w:rsidRDefault="0015202C" w:rsidP="001520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834944">
        <w:rPr>
          <w:rFonts w:ascii="Times New Roman" w:hAnsi="Times New Roman" w:cs="Times New Roman"/>
        </w:rPr>
        <w:t xml:space="preserve">(1) </w:t>
      </w:r>
      <w:proofErr w:type="gramStart"/>
      <w:r w:rsidRPr="00834944">
        <w:rPr>
          <w:rFonts w:ascii="Times New Roman" w:hAnsi="Times New Roman" w:cs="Times New Roman"/>
        </w:rPr>
        <w:t>active</w:t>
      </w:r>
      <w:proofErr w:type="gramEnd"/>
      <w:r w:rsidRPr="00834944">
        <w:rPr>
          <w:rFonts w:ascii="Times New Roman" w:hAnsi="Times New Roman" w:cs="Times New Roman"/>
        </w:rPr>
        <w:t xml:space="preserve"> teaching and learning, </w:t>
      </w:r>
    </w:p>
    <w:p w:rsidR="00EF1443" w:rsidRDefault="0015202C" w:rsidP="001520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834944">
        <w:rPr>
          <w:rFonts w:ascii="Times New Roman" w:hAnsi="Times New Roman" w:cs="Times New Roman"/>
        </w:rPr>
        <w:t xml:space="preserve">(2) </w:t>
      </w:r>
      <w:proofErr w:type="gramStart"/>
      <w:r w:rsidRPr="00834944">
        <w:rPr>
          <w:rFonts w:ascii="Times New Roman" w:hAnsi="Times New Roman" w:cs="Times New Roman"/>
        </w:rPr>
        <w:t>collaborative</w:t>
      </w:r>
      <w:proofErr w:type="gramEnd"/>
      <w:r w:rsidRPr="00834944">
        <w:rPr>
          <w:rFonts w:ascii="Times New Roman" w:hAnsi="Times New Roman" w:cs="Times New Roman"/>
        </w:rPr>
        <w:t xml:space="preserve"> </w:t>
      </w:r>
      <w:r>
        <w:rPr>
          <w:rFonts w:ascii="Times New Roman" w:hAnsi="Times New Roman" w:cs="Times New Roman"/>
        </w:rPr>
        <w:t>knowledge generation and discovery</w:t>
      </w:r>
      <w:r w:rsidRPr="00834944">
        <w:rPr>
          <w:rFonts w:ascii="Times New Roman" w:hAnsi="Times New Roman" w:cs="Times New Roman"/>
        </w:rPr>
        <w:t xml:space="preserve">, and </w:t>
      </w:r>
    </w:p>
    <w:p w:rsidR="00EF1443" w:rsidRDefault="0015202C" w:rsidP="001520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834944">
        <w:rPr>
          <w:rFonts w:ascii="Times New Roman" w:hAnsi="Times New Roman" w:cs="Times New Roman"/>
        </w:rPr>
        <w:t xml:space="preserve">(3) </w:t>
      </w:r>
      <w:proofErr w:type="gramStart"/>
      <w:r w:rsidRPr="00834944">
        <w:rPr>
          <w:rFonts w:ascii="Times New Roman" w:hAnsi="Times New Roman" w:cs="Times New Roman"/>
        </w:rPr>
        <w:t>the</w:t>
      </w:r>
      <w:proofErr w:type="gramEnd"/>
      <w:r w:rsidRPr="00834944">
        <w:rPr>
          <w:rFonts w:ascii="Times New Roman" w:hAnsi="Times New Roman" w:cs="Times New Roman"/>
        </w:rPr>
        <w:t xml:space="preserve"> academic success of underserved students</w:t>
      </w:r>
      <w:r w:rsidR="00EF1443">
        <w:rPr>
          <w:rFonts w:ascii="Times New Roman" w:hAnsi="Times New Roman" w:cs="Times New Roman"/>
        </w:rPr>
        <w:t xml:space="preserve"> (first-generation, low-income, students of color)</w:t>
      </w:r>
      <w:r w:rsidRPr="00834944">
        <w:rPr>
          <w:rFonts w:ascii="Times New Roman" w:hAnsi="Times New Roman" w:cs="Times New Roman"/>
        </w:rPr>
        <w:t xml:space="preserve">. </w:t>
      </w:r>
    </w:p>
    <w:p w:rsidR="00072FEF" w:rsidRDefault="00072FEF" w:rsidP="001520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EF1443" w:rsidRDefault="0015202C" w:rsidP="001520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834944">
        <w:rPr>
          <w:rFonts w:ascii="Times New Roman" w:hAnsi="Times New Roman" w:cs="Times New Roman"/>
        </w:rPr>
        <w:t xml:space="preserve">Understanding this </w:t>
      </w:r>
      <w:r w:rsidR="00EF1443">
        <w:rPr>
          <w:rFonts w:ascii="Times New Roman" w:hAnsi="Times New Roman" w:cs="Times New Roman"/>
        </w:rPr>
        <w:t xml:space="preserve">interconnected </w:t>
      </w:r>
      <w:r w:rsidRPr="00834944">
        <w:rPr>
          <w:rFonts w:ascii="Times New Roman" w:hAnsi="Times New Roman" w:cs="Times New Roman"/>
        </w:rPr>
        <w:t xml:space="preserve">matrix is a necessary pre-condition for fundamental changes in institutional cultures, structures, policies, and practices at colleges and universities. Only a comprehensive, integrative approach to the full continuum of teaching, learning, and research can ensure that all student--but especially those with the fewest resource--have access to the opportunities they need to succeed in postsecondary education and to fully participate in the economic, social, political, and civic life of the nation. </w:t>
      </w:r>
      <w:r w:rsidR="008E11EC" w:rsidRPr="00834944">
        <w:rPr>
          <w:rFonts w:ascii="Times New Roman" w:hAnsi="Times New Roman" w:cs="Times New Roman"/>
        </w:rPr>
        <w:t>Above all, it requires that we look at faculty, students, and institutional policies affecting both in relation to one another.</w:t>
      </w:r>
    </w:p>
    <w:p w:rsidR="00EF1443" w:rsidRDefault="00EF1443" w:rsidP="001520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15202C" w:rsidRPr="00834944" w:rsidRDefault="0015202C" w:rsidP="00DC3D7A">
      <w:pPr>
        <w:spacing w:beforeLines="1" w:afterLines="1"/>
        <w:rPr>
          <w:rFonts w:ascii="Times New Roman" w:hAnsi="Times New Roman" w:cs="Times New Roman"/>
        </w:rPr>
      </w:pPr>
      <w:r w:rsidRPr="00834944">
        <w:rPr>
          <w:rFonts w:ascii="Times New Roman" w:hAnsi="Times New Roman" w:cs="Times New Roman"/>
        </w:rPr>
        <w:t xml:space="preserve">Diversity has many dimensions in the context of higher education. In relation to students, a shifting national demographic has reshaped the student population to be increasingly representative of underserved students – students of color, first-generation students, and/or low-income students. Students increasingly represent racial, ethnic, cultural, gender, and socio-economic class diversity. For faculty, higher education institutions have struggled for more than a decade to create a more diverse academic workforce, with remarkably meager success. As an “industry,” higher education recognizes that fulfillment of its mission, and for some campuses their very survival, is dependent upon both attracting and supporting diverse faculty and attracting and retaining a more diverse student body. </w:t>
      </w:r>
    </w:p>
    <w:p w:rsidR="0015202C" w:rsidRPr="00834944" w:rsidRDefault="0015202C" w:rsidP="00DC3D7A">
      <w:pPr>
        <w:spacing w:beforeLines="1" w:afterLines="1"/>
        <w:rPr>
          <w:rFonts w:ascii="Times New Roman" w:hAnsi="Times New Roman" w:cs="Times New Roman"/>
        </w:rPr>
      </w:pPr>
    </w:p>
    <w:p w:rsidR="0015202C" w:rsidRPr="00834944" w:rsidRDefault="0015202C" w:rsidP="00DC3D7A">
      <w:pPr>
        <w:spacing w:beforeLines="1" w:afterLines="1"/>
        <w:rPr>
          <w:rFonts w:ascii="Times New Roman" w:hAnsi="Times New Roman" w:cs="Times New Roman"/>
        </w:rPr>
      </w:pPr>
      <w:r w:rsidRPr="00834944">
        <w:rPr>
          <w:rFonts w:ascii="Times New Roman" w:hAnsi="Times New Roman" w:cs="Times New Roman"/>
        </w:rPr>
        <w:t xml:space="preserve">According to a recent report from the Institute for Higher Education Policy (IHEP), </w:t>
      </w:r>
      <w:hyperlink r:id="rId7" w:history="1">
        <w:r w:rsidRPr="00834944">
          <w:rPr>
            <w:rFonts w:ascii="Times New Roman" w:hAnsi="Times New Roman" w:cs="Times New Roman"/>
            <w:i/>
          </w:rPr>
          <w:t>A Portrait of Low-Income Young Adults in Education</w:t>
        </w:r>
      </w:hyperlink>
      <w:r w:rsidRPr="00834944">
        <w:rPr>
          <w:rFonts w:ascii="Times New Roman" w:hAnsi="Times New Roman" w:cs="Times New Roman"/>
        </w:rPr>
        <w:t xml:space="preserve"> (June 2010), there are 35.2 million low-income young adults in the United States who are between the ages of 18 and 26, and whose parents’ income or their own (if financially independent) is up to 200 percent of the federal poverty level. Young adults living in “total poverty” are more likely to be Native American, Black, and Hispanic (59 percent, 57 percent, and 47 percent, respectively). This stands in contrast to 47 percent of their White and 40 percent of their Asian contemporaries.</w:t>
      </w:r>
    </w:p>
    <w:p w:rsidR="0015202C" w:rsidRPr="00834944" w:rsidRDefault="0015202C" w:rsidP="0015202C">
      <w:pPr>
        <w:rPr>
          <w:rFonts w:ascii="Times New Roman" w:hAnsi="Times New Roman" w:cs="Times New Roman"/>
        </w:rPr>
      </w:pPr>
    </w:p>
    <w:p w:rsidR="0015202C" w:rsidRPr="00834944" w:rsidRDefault="0015202C" w:rsidP="001520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34944">
        <w:rPr>
          <w:rFonts w:ascii="Times New Roman" w:hAnsi="Times New Roman" w:cs="Times New Roman"/>
          <w:color w:val="000000"/>
        </w:rPr>
        <w:t>College enrollments for Blacks and Hispanics have increased nationwide and there is a widespread perception that major strides have been made to meet the goals of</w:t>
      </w:r>
      <w:r w:rsidR="00EF1443">
        <w:rPr>
          <w:rFonts w:ascii="Times New Roman" w:hAnsi="Times New Roman" w:cs="Times New Roman"/>
          <w:color w:val="000000"/>
        </w:rPr>
        <w:t xml:space="preserve"> equal educational opportunity. </w:t>
      </w:r>
      <w:r w:rsidRPr="00834944">
        <w:rPr>
          <w:rFonts w:ascii="Times New Roman" w:hAnsi="Times New Roman" w:cs="Times New Roman"/>
          <w:color w:val="000000"/>
        </w:rPr>
        <w:t>Even though the number of underrepresented students (including low income or first-generation students and students of color) who go to college and earn a degree is an impressive accomplishment when compared to forty years ago, the gap between Blacks and Hispanics, on the one hand, and their white, non-Hispanic counterparts persists and continues to grow (</w:t>
      </w:r>
      <w:proofErr w:type="spellStart"/>
      <w:r w:rsidRPr="00834944">
        <w:rPr>
          <w:rFonts w:ascii="Times New Roman" w:hAnsi="Times New Roman" w:cs="Times New Roman"/>
          <w:color w:val="000000"/>
        </w:rPr>
        <w:t>Ruppert</w:t>
      </w:r>
      <w:proofErr w:type="spellEnd"/>
      <w:r w:rsidRPr="00834944">
        <w:rPr>
          <w:rFonts w:ascii="Times New Roman" w:hAnsi="Times New Roman" w:cs="Times New Roman"/>
          <w:color w:val="000000"/>
        </w:rPr>
        <w:t xml:space="preserve">, 2003). Students of color lag well behind whites in completing college. In 2001, of high school completers ages 25 to 29, about 37% of Whites, 21% of Blacks, and 16% of Hispanics had received a bachelor’s degree. </w:t>
      </w:r>
      <w:proofErr w:type="gramStart"/>
      <w:r w:rsidRPr="00834944">
        <w:rPr>
          <w:rFonts w:ascii="Times New Roman" w:hAnsi="Times New Roman" w:cs="Times New Roman"/>
          <w:color w:val="000000"/>
        </w:rPr>
        <w:t xml:space="preserve">The assumption that progress has been made </w:t>
      </w:r>
      <w:r w:rsidRPr="00834944">
        <w:rPr>
          <w:rFonts w:ascii="Times New Roman" w:hAnsi="Times New Roman" w:cs="Times New Roman"/>
          <w:i/>
          <w:iCs/>
          <w:color w:val="000000"/>
        </w:rPr>
        <w:t xml:space="preserve">beyond access </w:t>
      </w:r>
      <w:r w:rsidRPr="00834944">
        <w:rPr>
          <w:rFonts w:ascii="Times New Roman" w:hAnsi="Times New Roman" w:cs="Times New Roman"/>
          <w:color w:val="000000"/>
        </w:rPr>
        <w:t>into higher education for African Americans and Latinos is not supported by the evidence</w:t>
      </w:r>
      <w:proofErr w:type="gramEnd"/>
      <w:r w:rsidRPr="00834944">
        <w:rPr>
          <w:rFonts w:ascii="Times New Roman" w:hAnsi="Times New Roman" w:cs="Times New Roman"/>
          <w:color w:val="000000"/>
        </w:rPr>
        <w:t xml:space="preserve"> (</w:t>
      </w:r>
      <w:proofErr w:type="spellStart"/>
      <w:r w:rsidRPr="00834944">
        <w:rPr>
          <w:rFonts w:ascii="Times New Roman" w:hAnsi="Times New Roman" w:cs="Times New Roman"/>
          <w:color w:val="000000"/>
        </w:rPr>
        <w:t>Swail</w:t>
      </w:r>
      <w:proofErr w:type="spellEnd"/>
      <w:r w:rsidRPr="00834944">
        <w:rPr>
          <w:rFonts w:ascii="Times New Roman" w:hAnsi="Times New Roman" w:cs="Times New Roman"/>
          <w:color w:val="000000"/>
        </w:rPr>
        <w:t xml:space="preserve"> et al., 2003). The achievement gap among these groups is substantial nationwide and has not diminished in the last fifteen years (Bok, 2003). A pervasive rhetoric of America as a near “post-racial society” further confuses the issues even when there exists no indicator of social health that demonstrates that “minorities” are on par with their white counterparts.</w:t>
      </w:r>
    </w:p>
    <w:p w:rsidR="0015202C" w:rsidRPr="00834944" w:rsidRDefault="0015202C" w:rsidP="0015202C">
      <w:pPr>
        <w:rPr>
          <w:rFonts w:ascii="Times New Roman" w:hAnsi="Times New Roman" w:cs="Times New Roman"/>
        </w:rPr>
      </w:pPr>
    </w:p>
    <w:p w:rsidR="0015202C" w:rsidRPr="00834944" w:rsidRDefault="0015202C" w:rsidP="0015202C">
      <w:pPr>
        <w:rPr>
          <w:rFonts w:ascii="Times New Roman" w:hAnsi="Times New Roman" w:cs="Times New Roman"/>
        </w:rPr>
      </w:pPr>
      <w:r w:rsidRPr="00834944">
        <w:rPr>
          <w:rFonts w:ascii="Times New Roman" w:hAnsi="Times New Roman" w:cs="Times New Roman"/>
        </w:rPr>
        <w:t>Research indicates that the academic success of systematically and traditionally underserved students is enhanced by increased opportunities to participate in high-impact teaching and learning practices - practices that involve greater engagement in learning. One of these practices is community-based teaching and learning (often referred to as service-learning or community engagement tied to the curriculum) (</w:t>
      </w:r>
      <w:proofErr w:type="spellStart"/>
      <w:r w:rsidRPr="00834944">
        <w:rPr>
          <w:rFonts w:ascii="Times New Roman" w:hAnsi="Times New Roman" w:cs="Times New Roman"/>
        </w:rPr>
        <w:t>Kuh</w:t>
      </w:r>
      <w:proofErr w:type="spellEnd"/>
      <w:r w:rsidRPr="00834944">
        <w:rPr>
          <w:rFonts w:ascii="Times New Roman" w:hAnsi="Times New Roman" w:cs="Times New Roman"/>
        </w:rPr>
        <w:t xml:space="preserve">, 2008). </w:t>
      </w:r>
    </w:p>
    <w:p w:rsidR="0015202C" w:rsidRPr="00834944" w:rsidRDefault="0015202C" w:rsidP="0015202C">
      <w:pPr>
        <w:rPr>
          <w:rFonts w:ascii="Times New Roman" w:hAnsi="Times New Roman" w:cs="Times New Roman"/>
        </w:rPr>
      </w:pPr>
    </w:p>
    <w:p w:rsidR="0015202C" w:rsidRPr="00834944" w:rsidRDefault="0015202C" w:rsidP="0015202C">
      <w:pPr>
        <w:rPr>
          <w:rFonts w:ascii="Times New Roman" w:hAnsi="Times New Roman" w:cs="Times New Roman"/>
        </w:rPr>
      </w:pPr>
      <w:r w:rsidRPr="00834944">
        <w:rPr>
          <w:rFonts w:ascii="Times New Roman" w:hAnsi="Times New Roman" w:cs="Times New Roman"/>
        </w:rPr>
        <w:t>Further, research indicates that the academic success of underserved students is enhanced by increased opportunities to identify with faculty and staff who represent ethnic, racial, gender, and cultural diversity (</w:t>
      </w:r>
      <w:proofErr w:type="spellStart"/>
      <w:r w:rsidRPr="00834944">
        <w:rPr>
          <w:rFonts w:ascii="Times New Roman" w:hAnsi="Times New Roman" w:cs="Times New Roman"/>
        </w:rPr>
        <w:t>Hurtado</w:t>
      </w:r>
      <w:proofErr w:type="spellEnd"/>
      <w:proofErr w:type="gramStart"/>
      <w:r w:rsidRPr="00834944">
        <w:rPr>
          <w:rFonts w:ascii="Times New Roman" w:hAnsi="Times New Roman" w:cs="Times New Roman"/>
        </w:rPr>
        <w:t>,  2001</w:t>
      </w:r>
      <w:proofErr w:type="gramEnd"/>
      <w:r w:rsidRPr="00834944">
        <w:rPr>
          <w:rFonts w:ascii="Times New Roman" w:hAnsi="Times New Roman" w:cs="Times New Roman"/>
        </w:rPr>
        <w:t xml:space="preserve">, 2007; </w:t>
      </w:r>
      <w:proofErr w:type="spellStart"/>
      <w:r w:rsidRPr="00834944">
        <w:rPr>
          <w:rFonts w:ascii="Times New Roman" w:hAnsi="Times New Roman" w:cs="Times New Roman"/>
        </w:rPr>
        <w:t>Milem</w:t>
      </w:r>
      <w:proofErr w:type="spellEnd"/>
      <w:r w:rsidRPr="00834944">
        <w:rPr>
          <w:rFonts w:ascii="Times New Roman" w:hAnsi="Times New Roman" w:cs="Times New Roman"/>
        </w:rPr>
        <w:t xml:space="preserve"> et. al, 2005).</w:t>
      </w:r>
    </w:p>
    <w:p w:rsidR="0015202C" w:rsidRPr="00834944" w:rsidRDefault="0015202C" w:rsidP="0015202C">
      <w:pPr>
        <w:rPr>
          <w:rFonts w:ascii="Times New Roman" w:hAnsi="Times New Roman" w:cs="Times New Roman"/>
        </w:rPr>
      </w:pPr>
    </w:p>
    <w:p w:rsidR="0015202C" w:rsidRPr="00834944" w:rsidRDefault="0015202C" w:rsidP="0015202C">
      <w:pPr>
        <w:rPr>
          <w:rFonts w:ascii="Times New Roman" w:hAnsi="Times New Roman" w:cs="Times New Roman"/>
        </w:rPr>
      </w:pPr>
      <w:r w:rsidRPr="00834944">
        <w:rPr>
          <w:rFonts w:ascii="Times New Roman" w:hAnsi="Times New Roman" w:cs="Times New Roman"/>
        </w:rPr>
        <w:t xml:space="preserve">It is also apparent that along with demographic shifts among students, there are demographic shifts among faculty. </w:t>
      </w:r>
      <w:r w:rsidR="008E11EC">
        <w:rPr>
          <w:rFonts w:ascii="Times New Roman" w:hAnsi="Times New Roman" w:cs="Times New Roman"/>
        </w:rPr>
        <w:t>There is</w:t>
      </w:r>
      <w:r w:rsidRPr="00834944">
        <w:rPr>
          <w:rFonts w:ascii="Times New Roman" w:hAnsi="Times New Roman" w:cs="Times New Roman"/>
        </w:rPr>
        <w:t xml:space="preserve"> greater diversity among graduate students and early career faculty – and</w:t>
      </w:r>
      <w:r w:rsidR="008E11EC">
        <w:rPr>
          <w:rFonts w:ascii="Times New Roman" w:hAnsi="Times New Roman" w:cs="Times New Roman"/>
        </w:rPr>
        <w:t>, at the same time</w:t>
      </w:r>
      <w:r w:rsidRPr="00834944">
        <w:rPr>
          <w:rFonts w:ascii="Times New Roman" w:hAnsi="Times New Roman" w:cs="Times New Roman"/>
        </w:rPr>
        <w:t xml:space="preserve"> a rotating door for </w:t>
      </w:r>
      <w:r w:rsidR="008E11EC">
        <w:rPr>
          <w:rFonts w:ascii="Times New Roman" w:hAnsi="Times New Roman" w:cs="Times New Roman"/>
        </w:rPr>
        <w:t xml:space="preserve">underrepresented faculty seeking </w:t>
      </w:r>
      <w:r w:rsidRPr="00834944">
        <w:rPr>
          <w:rFonts w:ascii="Times New Roman" w:hAnsi="Times New Roman" w:cs="Times New Roman"/>
        </w:rPr>
        <w:t>careers in higher education. The academy is attracting more under-represented faculty than ever before, but those faculty are leaving in greater numbers than coming in (</w:t>
      </w:r>
      <w:r w:rsidRPr="00834944">
        <w:rPr>
          <w:rFonts w:ascii="Times New Roman" w:hAnsi="Times New Roman" w:cs="Times New Roman"/>
          <w:color w:val="141413"/>
        </w:rPr>
        <w:t>Moreno, 2006</w:t>
      </w:r>
      <w:r w:rsidRPr="00834944">
        <w:rPr>
          <w:rFonts w:ascii="Times New Roman" w:hAnsi="Times New Roman" w:cs="Times New Roman"/>
        </w:rPr>
        <w:t>)</w:t>
      </w:r>
      <w:r w:rsidR="008E11EC">
        <w:rPr>
          <w:rFonts w:ascii="Times New Roman" w:hAnsi="Times New Roman" w:cs="Times New Roman"/>
        </w:rPr>
        <w:t>.</w:t>
      </w:r>
    </w:p>
    <w:p w:rsidR="0015202C" w:rsidRPr="00834944" w:rsidRDefault="0015202C" w:rsidP="0015202C">
      <w:pPr>
        <w:autoSpaceDE w:val="0"/>
        <w:autoSpaceDN w:val="0"/>
        <w:adjustRightInd w:val="0"/>
        <w:rPr>
          <w:rFonts w:ascii="Times New Roman" w:hAnsi="Times New Roman" w:cs="Times New Roman"/>
        </w:rPr>
      </w:pPr>
    </w:p>
    <w:p w:rsidR="0015202C" w:rsidRPr="00834944" w:rsidRDefault="008E11EC" w:rsidP="0015202C">
      <w:pPr>
        <w:autoSpaceDE w:val="0"/>
        <w:autoSpaceDN w:val="0"/>
        <w:adjustRightInd w:val="0"/>
        <w:rPr>
          <w:rFonts w:ascii="Times New Roman" w:hAnsi="Times New Roman" w:cs="Times New Roman"/>
        </w:rPr>
      </w:pPr>
      <w:r>
        <w:rPr>
          <w:rFonts w:ascii="Times New Roman" w:hAnsi="Times New Roman" w:cs="Times New Roman"/>
        </w:rPr>
        <w:t>A growing body of r</w:t>
      </w:r>
      <w:r w:rsidR="0015202C" w:rsidRPr="00834944">
        <w:rPr>
          <w:rFonts w:ascii="Times New Roman" w:hAnsi="Times New Roman" w:cs="Times New Roman"/>
        </w:rPr>
        <w:t>esearch has d</w:t>
      </w:r>
      <w:r>
        <w:rPr>
          <w:rFonts w:ascii="Times New Roman" w:hAnsi="Times New Roman" w:cs="Times New Roman"/>
        </w:rPr>
        <w:t>emonstrated</w:t>
      </w:r>
      <w:r w:rsidR="0015202C" w:rsidRPr="00834944">
        <w:rPr>
          <w:rFonts w:ascii="Times New Roman" w:hAnsi="Times New Roman" w:cs="Times New Roman"/>
        </w:rPr>
        <w:t xml:space="preserve"> that women and faculty of color are more likely to engage in both interdisciplinary and community-service-related behaviors, including community engaged and inclusive pedagogical practice in teaching and learning and building research agendas related to public problem-solving in local communities and are more likely to cite such experiences as critical to their purpose in the academy. (Baez, 2000; Antonio, </w:t>
      </w:r>
      <w:proofErr w:type="spellStart"/>
      <w:r w:rsidR="0015202C" w:rsidRPr="00834944">
        <w:rPr>
          <w:rFonts w:ascii="Times New Roman" w:hAnsi="Times New Roman" w:cs="Times New Roman"/>
        </w:rPr>
        <w:t>Astin</w:t>
      </w:r>
      <w:proofErr w:type="spellEnd"/>
      <w:r w:rsidR="0015202C" w:rsidRPr="00834944">
        <w:rPr>
          <w:rFonts w:ascii="Times New Roman" w:hAnsi="Times New Roman" w:cs="Times New Roman"/>
        </w:rPr>
        <w:t xml:space="preserve"> and Cress, 2000; Antonio, 2002; </w:t>
      </w:r>
      <w:proofErr w:type="spellStart"/>
      <w:r w:rsidR="0015202C" w:rsidRPr="00834944">
        <w:rPr>
          <w:rFonts w:ascii="Times New Roman" w:hAnsi="Times New Roman" w:cs="Times New Roman"/>
          <w:color w:val="000000"/>
        </w:rPr>
        <w:t>Vogelgesang</w:t>
      </w:r>
      <w:proofErr w:type="spellEnd"/>
      <w:r w:rsidR="0015202C" w:rsidRPr="00834944">
        <w:rPr>
          <w:rFonts w:ascii="Times New Roman" w:hAnsi="Times New Roman" w:cs="Times New Roman"/>
          <w:color w:val="000000"/>
        </w:rPr>
        <w:t xml:space="preserve">, Denson, </w:t>
      </w:r>
      <w:proofErr w:type="spellStart"/>
      <w:r w:rsidR="0015202C" w:rsidRPr="00834944">
        <w:rPr>
          <w:rFonts w:ascii="Times New Roman" w:hAnsi="Times New Roman" w:cs="Times New Roman"/>
          <w:color w:val="000000"/>
        </w:rPr>
        <w:t>Jayakumar</w:t>
      </w:r>
      <w:proofErr w:type="spellEnd"/>
      <w:r w:rsidR="0015202C" w:rsidRPr="00834944">
        <w:rPr>
          <w:rFonts w:ascii="Times New Roman" w:hAnsi="Times New Roman" w:cs="Times New Roman"/>
          <w:color w:val="000000"/>
        </w:rPr>
        <w:t>, 2010; Rhoads, et al., 2008; Hale, ed., 2008; Ibarra, 2001</w:t>
      </w:r>
      <w:r w:rsidR="0015202C" w:rsidRPr="00834944">
        <w:rPr>
          <w:rFonts w:ascii="Times New Roman" w:hAnsi="Times New Roman" w:cs="Times New Roman"/>
        </w:rPr>
        <w:t>)</w:t>
      </w:r>
    </w:p>
    <w:p w:rsidR="0015202C" w:rsidRPr="00834944" w:rsidRDefault="0015202C" w:rsidP="0015202C">
      <w:pPr>
        <w:autoSpaceDE w:val="0"/>
        <w:autoSpaceDN w:val="0"/>
        <w:adjustRightInd w:val="0"/>
        <w:rPr>
          <w:rFonts w:ascii="Times New Roman" w:hAnsi="Times New Roman" w:cs="Times New Roman"/>
        </w:rPr>
      </w:pPr>
    </w:p>
    <w:p w:rsidR="0015202C" w:rsidRPr="00834944" w:rsidRDefault="0015202C" w:rsidP="0015202C">
      <w:pPr>
        <w:autoSpaceDE w:val="0"/>
        <w:autoSpaceDN w:val="0"/>
        <w:adjustRightInd w:val="0"/>
        <w:rPr>
          <w:rFonts w:ascii="Times New Roman" w:hAnsi="Times New Roman" w:cs="Times New Roman"/>
        </w:rPr>
      </w:pPr>
      <w:r w:rsidRPr="00834944">
        <w:rPr>
          <w:rFonts w:ascii="Times New Roman" w:hAnsi="Times New Roman" w:cs="Times New Roman"/>
        </w:rPr>
        <w:t xml:space="preserve">Additionally, there is research indicating that faculty roles and rewards –criteria for research, scholarship, and creative activity – either 1) reward community engagement as service (counting little in promotion and tenure) or 2) do not specifically reward community engagement as either teaching, research and creative activity, or service. Institutional policies create disincentives for faculty to undertake community engagement through their faculty roles (Saltmarsh, et al, 2009; Ellison and </w:t>
      </w:r>
      <w:proofErr w:type="spellStart"/>
      <w:r w:rsidRPr="00834944">
        <w:rPr>
          <w:rFonts w:ascii="Times New Roman" w:hAnsi="Times New Roman" w:cs="Times New Roman"/>
        </w:rPr>
        <w:t>Eatman</w:t>
      </w:r>
      <w:proofErr w:type="spellEnd"/>
      <w:r w:rsidRPr="00834944">
        <w:rPr>
          <w:rFonts w:ascii="Times New Roman" w:hAnsi="Times New Roman" w:cs="Times New Roman"/>
        </w:rPr>
        <w:t>, 2008)</w:t>
      </w:r>
    </w:p>
    <w:p w:rsidR="0015202C" w:rsidRPr="00834944" w:rsidRDefault="0015202C" w:rsidP="0015202C">
      <w:pPr>
        <w:rPr>
          <w:rFonts w:ascii="Times New Roman" w:hAnsi="Times New Roman" w:cs="Times New Roman"/>
        </w:rPr>
      </w:pPr>
    </w:p>
    <w:p w:rsidR="008E11EC" w:rsidRPr="00BE73CF" w:rsidRDefault="0015202C" w:rsidP="0015202C">
      <w:pPr>
        <w:rPr>
          <w:rFonts w:ascii="Times New Roman" w:hAnsi="Times New Roman" w:cs="Times New Roman"/>
        </w:rPr>
      </w:pPr>
      <w:r w:rsidRPr="00BE73CF">
        <w:rPr>
          <w:rFonts w:ascii="Times New Roman" w:hAnsi="Times New Roman" w:cs="Times New Roman"/>
        </w:rPr>
        <w:t xml:space="preserve">Efforts to connect diversity, community engagement, and student success in higher education have gained increased attention (Cress, C.M., </w:t>
      </w:r>
      <w:proofErr w:type="spellStart"/>
      <w:r w:rsidRPr="00BE73CF">
        <w:rPr>
          <w:rFonts w:ascii="Times New Roman" w:hAnsi="Times New Roman" w:cs="Times New Roman"/>
        </w:rPr>
        <w:t>Burack</w:t>
      </w:r>
      <w:proofErr w:type="spellEnd"/>
      <w:r w:rsidRPr="00BE73CF">
        <w:rPr>
          <w:rFonts w:ascii="Times New Roman" w:hAnsi="Times New Roman" w:cs="Times New Roman"/>
        </w:rPr>
        <w:t xml:space="preserve">, C., Giles, D. E., Jr., Elkins, J, Stevens, </w:t>
      </w:r>
      <w:proofErr w:type="gramStart"/>
      <w:r w:rsidRPr="00BE73CF">
        <w:rPr>
          <w:rFonts w:ascii="Times New Roman" w:hAnsi="Times New Roman" w:cs="Times New Roman"/>
        </w:rPr>
        <w:t>M.C</w:t>
      </w:r>
      <w:proofErr w:type="gramEnd"/>
      <w:r w:rsidRPr="00BE73CF">
        <w:rPr>
          <w:rFonts w:ascii="Times New Roman" w:hAnsi="Times New Roman" w:cs="Times New Roman"/>
        </w:rPr>
        <w:t xml:space="preserve">. (2010) </w:t>
      </w:r>
      <w:r w:rsidRPr="00BE73CF">
        <w:rPr>
          <w:rFonts w:ascii="Times New Roman" w:hAnsi="Times New Roman" w:cs="Times New Roman"/>
          <w:i/>
        </w:rPr>
        <w:t>A Promising Connection: Increasing College Access and Success through Civic Engagement</w:t>
      </w:r>
      <w:r w:rsidRPr="00BE73CF">
        <w:rPr>
          <w:rFonts w:ascii="Times New Roman" w:hAnsi="Times New Roman" w:cs="Times New Roman"/>
        </w:rPr>
        <w:t xml:space="preserve">. Boston, MA: Campus Compact). Yet, the dominant response continues to focus primarily on expanding access to higher education through programs in which undergraduate student volunteers support programs aimed at preparing underserved high school students for access to higher education. While such programs are laudable, they are not sufficient, in part because they do not examine organizational cultures in higher education that would shift the focus from </w:t>
      </w:r>
      <w:r w:rsidRPr="00BE73CF">
        <w:rPr>
          <w:rFonts w:ascii="Times New Roman" w:hAnsi="Times New Roman" w:cs="Times New Roman"/>
          <w:i/>
        </w:rPr>
        <w:t>access to</w:t>
      </w:r>
      <w:r w:rsidRPr="00BE73CF">
        <w:rPr>
          <w:rFonts w:ascii="Times New Roman" w:hAnsi="Times New Roman" w:cs="Times New Roman"/>
        </w:rPr>
        <w:t xml:space="preserve"> </w:t>
      </w:r>
      <w:proofErr w:type="spellStart"/>
      <w:r w:rsidRPr="00BE73CF">
        <w:rPr>
          <w:rFonts w:ascii="Times New Roman" w:hAnsi="Times New Roman" w:cs="Times New Roman"/>
        </w:rPr>
        <w:t>to</w:t>
      </w:r>
      <w:proofErr w:type="spellEnd"/>
      <w:r w:rsidRPr="00BE73CF">
        <w:rPr>
          <w:rFonts w:ascii="Times New Roman" w:hAnsi="Times New Roman" w:cs="Times New Roman"/>
        </w:rPr>
        <w:t xml:space="preserve"> </w:t>
      </w:r>
      <w:r w:rsidRPr="00BE73CF">
        <w:rPr>
          <w:rFonts w:ascii="Times New Roman" w:hAnsi="Times New Roman" w:cs="Times New Roman"/>
          <w:i/>
        </w:rPr>
        <w:t>success through</w:t>
      </w:r>
      <w:r w:rsidRPr="00BE73CF">
        <w:rPr>
          <w:rFonts w:ascii="Times New Roman" w:hAnsi="Times New Roman" w:cs="Times New Roman"/>
        </w:rPr>
        <w:t xml:space="preserve"> postsecondary education.</w:t>
      </w:r>
      <w:r w:rsidR="008E11EC" w:rsidRPr="00BE73CF">
        <w:rPr>
          <w:rFonts w:ascii="Times New Roman" w:hAnsi="Times New Roman" w:cs="Times New Roman"/>
        </w:rPr>
        <w:t xml:space="preserve"> </w:t>
      </w:r>
    </w:p>
    <w:p w:rsidR="008E11EC" w:rsidRPr="00BE73CF" w:rsidRDefault="008E11EC" w:rsidP="0015202C">
      <w:pPr>
        <w:rPr>
          <w:rFonts w:ascii="Times New Roman" w:hAnsi="Times New Roman" w:cs="Times New Roman"/>
        </w:rPr>
      </w:pPr>
    </w:p>
    <w:p w:rsidR="0015202C" w:rsidRDefault="0015202C" w:rsidP="0015202C">
      <w:pPr>
        <w:rPr>
          <w:rFonts w:ascii="Times New Roman" w:hAnsi="Times New Roman" w:cs="Times New Roman"/>
        </w:rPr>
      </w:pPr>
      <w:r w:rsidRPr="00BE73CF">
        <w:rPr>
          <w:rFonts w:ascii="Times New Roman" w:hAnsi="Times New Roman" w:cs="Times New Roman"/>
        </w:rPr>
        <w:t>Consequently, these efforts do not lead institutions of higher education to undertake significant organizational change aimed at creating environments in which underserved students and underrepresented faculty can thrive and succeed. Furthermore, the dominant approaches do not examine systemic organizational issues in a way that links institutional reward policies to two critical domains: student diversity, including diverse learning</w:t>
      </w:r>
      <w:r w:rsidRPr="00834944">
        <w:rPr>
          <w:rFonts w:ascii="Times New Roman" w:hAnsi="Times New Roman" w:cs="Times New Roman"/>
        </w:rPr>
        <w:t xml:space="preserve"> styles</w:t>
      </w:r>
      <w:r w:rsidR="00FB6BCB">
        <w:rPr>
          <w:rFonts w:ascii="Times New Roman" w:hAnsi="Times New Roman" w:cs="Times New Roman"/>
        </w:rPr>
        <w:t xml:space="preserve"> and asset-based educational environments</w:t>
      </w:r>
      <w:r w:rsidRPr="00834944">
        <w:rPr>
          <w:rFonts w:ascii="Times New Roman" w:hAnsi="Times New Roman" w:cs="Times New Roman"/>
        </w:rPr>
        <w:t xml:space="preserve">, and faculty diversity, including diverse pedagogical practices and diverse forms of scholarship. </w:t>
      </w:r>
    </w:p>
    <w:p w:rsidR="00FB6BCB" w:rsidRDefault="00FB6BCB" w:rsidP="0015202C">
      <w:pPr>
        <w:rPr>
          <w:rFonts w:ascii="Times New Roman" w:hAnsi="Times New Roman" w:cs="Times New Roman"/>
        </w:rPr>
      </w:pPr>
    </w:p>
    <w:p w:rsidR="00FB6BCB" w:rsidRDefault="00FB6BCB" w:rsidP="00FB6BCB">
      <w:pPr>
        <w:jc w:val="center"/>
        <w:rPr>
          <w:rFonts w:ascii="Times New Roman" w:hAnsi="Times New Roman" w:cs="Times New Roman"/>
          <w:b/>
        </w:rPr>
      </w:pPr>
      <w:r w:rsidRPr="00FB6BCB">
        <w:rPr>
          <w:rFonts w:ascii="Times New Roman" w:hAnsi="Times New Roman" w:cs="Times New Roman"/>
          <w:b/>
        </w:rPr>
        <w:t>III. The Urgency of Now</w:t>
      </w:r>
    </w:p>
    <w:p w:rsidR="00BE73CF" w:rsidRDefault="00BE73CF" w:rsidP="00FB6BCB">
      <w:pPr>
        <w:jc w:val="center"/>
        <w:rPr>
          <w:rFonts w:ascii="Times New Roman" w:hAnsi="Times New Roman" w:cs="Times New Roman"/>
          <w:b/>
        </w:rPr>
      </w:pPr>
    </w:p>
    <w:p w:rsidR="00424966" w:rsidRDefault="00072FEF" w:rsidP="00072FEF">
      <w:pPr>
        <w:rPr>
          <w:rFonts w:ascii="Times New Roman" w:hAnsi="Times New Roman" w:cs="Times New Roman"/>
        </w:rPr>
      </w:pPr>
      <w:r>
        <w:rPr>
          <w:rFonts w:ascii="Times New Roman" w:hAnsi="Times New Roman" w:cs="Times New Roman"/>
        </w:rPr>
        <w:t xml:space="preserve">Those who lead and teach and shape institutions of higher education have the ability to make choices and determine commitments and strategies that address change in organizational structures and cultures to achieve full participation for the next generation of students and faculty. The alternative is to allow change to happen as the shift in demographics of students and faculty continues to unfold, as the </w:t>
      </w:r>
      <w:r w:rsidR="00951BC4">
        <w:rPr>
          <w:rFonts w:ascii="Times New Roman" w:hAnsi="Times New Roman" w:cs="Times New Roman"/>
        </w:rPr>
        <w:t>economics and management imperatives</w:t>
      </w:r>
      <w:r>
        <w:rPr>
          <w:rFonts w:ascii="Times New Roman" w:hAnsi="Times New Roman" w:cs="Times New Roman"/>
        </w:rPr>
        <w:t xml:space="preserve"> continue to compel the demise of faculty </w:t>
      </w:r>
      <w:proofErr w:type="gramStart"/>
      <w:r>
        <w:rPr>
          <w:rFonts w:ascii="Times New Roman" w:hAnsi="Times New Roman" w:cs="Times New Roman"/>
        </w:rPr>
        <w:t>tenure</w:t>
      </w:r>
      <w:proofErr w:type="gramEnd"/>
      <w:r>
        <w:rPr>
          <w:rFonts w:ascii="Times New Roman" w:hAnsi="Times New Roman" w:cs="Times New Roman"/>
        </w:rPr>
        <w:t xml:space="preserve"> as we know it, and as the shift to contract and contingent faculty reshapes the realities of shared governance.</w:t>
      </w:r>
      <w:r w:rsidR="00A06211">
        <w:rPr>
          <w:rFonts w:ascii="Times New Roman" w:hAnsi="Times New Roman" w:cs="Times New Roman"/>
        </w:rPr>
        <w:t xml:space="preserve"> </w:t>
      </w:r>
    </w:p>
    <w:p w:rsidR="00424966" w:rsidRDefault="00424966" w:rsidP="00072FEF">
      <w:pPr>
        <w:rPr>
          <w:rFonts w:ascii="Times New Roman" w:hAnsi="Times New Roman" w:cs="Times New Roman"/>
        </w:rPr>
      </w:pPr>
    </w:p>
    <w:p w:rsidR="00A06211" w:rsidRDefault="00A06211" w:rsidP="00424966">
      <w:pPr>
        <w:rPr>
          <w:rFonts w:ascii="Times New Roman" w:hAnsi="Times New Roman" w:cs="Times New Roman"/>
          <w:color w:val="000000"/>
        </w:rPr>
      </w:pPr>
      <w:r>
        <w:rPr>
          <w:rFonts w:ascii="Times New Roman" w:hAnsi="Times New Roman" w:cs="Times New Roman"/>
        </w:rPr>
        <w:t>The challenges that face institutions of higher edu</w:t>
      </w:r>
      <w:r w:rsidR="00424966">
        <w:rPr>
          <w:rFonts w:ascii="Times New Roman" w:hAnsi="Times New Roman" w:cs="Times New Roman"/>
        </w:rPr>
        <w:t>cation will not be addressed ade</w:t>
      </w:r>
      <w:r>
        <w:rPr>
          <w:rFonts w:ascii="Times New Roman" w:hAnsi="Times New Roman" w:cs="Times New Roman"/>
        </w:rPr>
        <w:t>quately by fragmented innovations</w:t>
      </w:r>
      <w:r w:rsidR="00424966">
        <w:rPr>
          <w:rFonts w:ascii="Times New Roman" w:hAnsi="Times New Roman" w:cs="Times New Roman"/>
        </w:rPr>
        <w:t xml:space="preserve"> ai</w:t>
      </w:r>
      <w:r w:rsidR="00424966">
        <w:rPr>
          <w:rFonts w:ascii="Times New Roman" w:hAnsi="Times New Roman" w:cs="Times New Roman"/>
          <w:color w:val="000000"/>
        </w:rPr>
        <w:t>med at improving</w:t>
      </w:r>
      <w:r w:rsidRPr="003105B1">
        <w:rPr>
          <w:rFonts w:ascii="Times New Roman" w:hAnsi="Times New Roman" w:cs="Times New Roman"/>
          <w:color w:val="000000"/>
        </w:rPr>
        <w:t xml:space="preserve"> the efficiency a</w:t>
      </w:r>
      <w:r w:rsidR="00424966">
        <w:rPr>
          <w:rFonts w:ascii="Times New Roman" w:hAnsi="Times New Roman" w:cs="Times New Roman"/>
          <w:color w:val="000000"/>
        </w:rPr>
        <w:t>nd effectiveness of what exists</w:t>
      </w:r>
      <w:r w:rsidRPr="003105B1">
        <w:rPr>
          <w:rFonts w:ascii="Times New Roman" w:hAnsi="Times New Roman" w:cs="Times New Roman"/>
          <w:color w:val="000000"/>
        </w:rPr>
        <w:t xml:space="preserve"> </w:t>
      </w:r>
      <w:r w:rsidR="00424966">
        <w:rPr>
          <w:rFonts w:ascii="Times New Roman" w:hAnsi="Times New Roman" w:cs="Times New Roman"/>
          <w:color w:val="000000"/>
        </w:rPr>
        <w:t>–</w:t>
      </w:r>
      <w:r w:rsidRPr="003105B1">
        <w:rPr>
          <w:rFonts w:ascii="Times New Roman" w:hAnsi="Times New Roman" w:cs="Times New Roman"/>
          <w:color w:val="000000"/>
        </w:rPr>
        <w:t xml:space="preserve"> </w:t>
      </w:r>
      <w:r w:rsidR="00BE73CF">
        <w:rPr>
          <w:rFonts w:ascii="Times New Roman" w:hAnsi="Times New Roman" w:cs="Times New Roman"/>
          <w:color w:val="000000"/>
        </w:rPr>
        <w:t>reforms that do</w:t>
      </w:r>
      <w:r w:rsidRPr="003105B1">
        <w:rPr>
          <w:rFonts w:ascii="Times New Roman" w:hAnsi="Times New Roman" w:cs="Times New Roman"/>
          <w:color w:val="000000"/>
        </w:rPr>
        <w:t xml:space="preserve"> not disturb the basic organizational features, </w:t>
      </w:r>
      <w:r w:rsidR="00424966">
        <w:rPr>
          <w:rFonts w:ascii="Times New Roman" w:hAnsi="Times New Roman" w:cs="Times New Roman"/>
          <w:color w:val="000000"/>
        </w:rPr>
        <w:t>substantially altering</w:t>
      </w:r>
      <w:r w:rsidRPr="003105B1">
        <w:rPr>
          <w:rFonts w:ascii="Times New Roman" w:hAnsi="Times New Roman" w:cs="Times New Roman"/>
          <w:color w:val="000000"/>
        </w:rPr>
        <w:t xml:space="preserve"> the culture of the institution</w:t>
      </w:r>
      <w:r w:rsidR="00424966">
        <w:rPr>
          <w:rFonts w:ascii="Times New Roman" w:hAnsi="Times New Roman" w:cs="Times New Roman"/>
          <w:color w:val="000000"/>
        </w:rPr>
        <w:t xml:space="preserve">. Achieving full participation of diverse faculty and students in the opportunities </w:t>
      </w:r>
      <w:r w:rsidR="00BE73CF">
        <w:rPr>
          <w:rFonts w:ascii="Times New Roman" w:hAnsi="Times New Roman" w:cs="Times New Roman"/>
          <w:color w:val="000000"/>
        </w:rPr>
        <w:t xml:space="preserve">of </w:t>
      </w:r>
      <w:r w:rsidR="00951BC4">
        <w:rPr>
          <w:rFonts w:ascii="Times New Roman" w:hAnsi="Times New Roman" w:cs="Times New Roman"/>
          <w:color w:val="000000"/>
        </w:rPr>
        <w:t>institutional citizenship in</w:t>
      </w:r>
      <w:r w:rsidR="00424966">
        <w:rPr>
          <w:rFonts w:ascii="Times New Roman" w:hAnsi="Times New Roman" w:cs="Times New Roman"/>
          <w:color w:val="000000"/>
        </w:rPr>
        <w:t xml:space="preserve"> higher education means introducing </w:t>
      </w:r>
      <w:r w:rsidRPr="003105B1">
        <w:rPr>
          <w:rFonts w:ascii="Times New Roman" w:hAnsi="Times New Roman" w:cs="Times New Roman"/>
          <w:color w:val="000000"/>
        </w:rPr>
        <w:t>new goals, structures, and roles that transform familiar ways of doing things into new ways of solving persistent problems.</w:t>
      </w:r>
      <w:r w:rsidR="00424966">
        <w:rPr>
          <w:rFonts w:ascii="Times New Roman" w:hAnsi="Times New Roman" w:cs="Times New Roman"/>
          <w:color w:val="000000"/>
        </w:rPr>
        <w:t xml:space="preserve"> The success and contributions of the next generation of undergraduates, graduate students, and early career faculty depends on addressing these changes now, not at some time in the future.</w:t>
      </w:r>
    </w:p>
    <w:p w:rsidR="00424966" w:rsidRDefault="00424966" w:rsidP="00424966">
      <w:pPr>
        <w:rPr>
          <w:rFonts w:ascii="Times New Roman" w:hAnsi="Times New Roman" w:cs="Times New Roman"/>
          <w:color w:val="000000"/>
        </w:rPr>
      </w:pPr>
    </w:p>
    <w:p w:rsidR="00424966" w:rsidRPr="00424966" w:rsidRDefault="00424966" w:rsidP="00424966">
      <w:pPr>
        <w:rPr>
          <w:rFonts w:ascii="Times New Roman" w:hAnsi="Times New Roman" w:cs="Times New Roman"/>
        </w:rPr>
      </w:pPr>
      <w:r>
        <w:rPr>
          <w:rFonts w:ascii="Times New Roman" w:hAnsi="Times New Roman" w:cs="Times New Roman"/>
          <w:color w:val="000000"/>
        </w:rPr>
        <w:t xml:space="preserve">Many colleges and universities are demonstrating a commitment to be responsive to these challenges. There are experiments with new structures that combine civic engagement efforts with diversity initiatives.  There are examples of the infusion of inclusive pedagogical practices aimed at addressing the retention </w:t>
      </w:r>
      <w:r w:rsidR="00951BC4">
        <w:rPr>
          <w:rFonts w:ascii="Times New Roman" w:hAnsi="Times New Roman" w:cs="Times New Roman"/>
          <w:color w:val="000000"/>
        </w:rPr>
        <w:t>a</w:t>
      </w:r>
      <w:r>
        <w:rPr>
          <w:rFonts w:ascii="Times New Roman" w:hAnsi="Times New Roman" w:cs="Times New Roman"/>
          <w:color w:val="000000"/>
        </w:rPr>
        <w:t xml:space="preserve">nd success of </w:t>
      </w:r>
      <w:r w:rsidR="00951BC4">
        <w:rPr>
          <w:rFonts w:ascii="Times New Roman" w:hAnsi="Times New Roman" w:cs="Times New Roman"/>
          <w:color w:val="000000"/>
        </w:rPr>
        <w:t>a diversity of learners. There are efforts to reshape faculty teaching and scholarship along with the alignment of assessment and student support structures to enhance the success of underserved students. There are examples of revised promotion and tenure policies to create space for validating community-based collaborative, public scholarship. All of this is evidence of the need to change. What is missing is a more systemic institutional approach that facilitates institutional transformation and allows colleges and universities to shape their future now.</w:t>
      </w:r>
    </w:p>
    <w:p w:rsidR="00A06211" w:rsidRPr="00072FEF" w:rsidRDefault="00A06211" w:rsidP="00072FEF">
      <w:pPr>
        <w:rPr>
          <w:rFonts w:ascii="Times New Roman" w:hAnsi="Times New Roman" w:cs="Times New Roman"/>
        </w:rPr>
      </w:pPr>
    </w:p>
    <w:p w:rsidR="00637B4C" w:rsidRPr="00637B4C" w:rsidRDefault="00637B4C" w:rsidP="00637B4C">
      <w:pPr>
        <w:rPr>
          <w:rFonts w:ascii="Times New Roman" w:hAnsi="Times New Roman" w:cs="Times New Roman"/>
        </w:rPr>
      </w:pPr>
    </w:p>
    <w:p w:rsidR="00FB6BCB" w:rsidRDefault="00807DF5" w:rsidP="00807DF5">
      <w:pPr>
        <w:jc w:val="center"/>
        <w:rPr>
          <w:rFonts w:ascii="Times New Roman" w:hAnsi="Times New Roman" w:cs="Times New Roman"/>
          <w:b/>
        </w:rPr>
      </w:pPr>
      <w:r>
        <w:rPr>
          <w:rFonts w:ascii="Times New Roman" w:hAnsi="Times New Roman" w:cs="Times New Roman"/>
          <w:b/>
        </w:rPr>
        <w:t>IV. Policy Recommendations</w:t>
      </w:r>
    </w:p>
    <w:p w:rsidR="00212E47" w:rsidRDefault="00212E47" w:rsidP="00807DF5">
      <w:pPr>
        <w:jc w:val="center"/>
        <w:rPr>
          <w:rFonts w:ascii="Times New Roman" w:hAnsi="Times New Roman" w:cs="Times New Roman"/>
          <w:b/>
        </w:rPr>
      </w:pPr>
    </w:p>
    <w:p w:rsidR="00807DF5" w:rsidRPr="00CA507F" w:rsidRDefault="00212E47" w:rsidP="00BE73CF">
      <w:pPr>
        <w:pStyle w:val="ListParagraph"/>
        <w:numPr>
          <w:ilvl w:val="0"/>
          <w:numId w:val="4"/>
        </w:numPr>
        <w:rPr>
          <w:rFonts w:ascii="Times New Roman" w:hAnsi="Times New Roman" w:cs="Times New Roman"/>
          <w:sz w:val="24"/>
          <w:szCs w:val="24"/>
        </w:rPr>
      </w:pPr>
      <w:r w:rsidRPr="00CA507F">
        <w:rPr>
          <w:rFonts w:ascii="Times New Roman" w:hAnsi="Times New Roman" w:cs="Times New Roman"/>
          <w:sz w:val="24"/>
          <w:szCs w:val="24"/>
        </w:rPr>
        <w:t>Holistic approach</w:t>
      </w:r>
    </w:p>
    <w:p w:rsidR="00212E47" w:rsidRPr="00CA507F" w:rsidRDefault="00807DF5" w:rsidP="00BE73CF">
      <w:pPr>
        <w:pStyle w:val="ListParagraph"/>
        <w:numPr>
          <w:ilvl w:val="0"/>
          <w:numId w:val="4"/>
        </w:numPr>
        <w:rPr>
          <w:rFonts w:ascii="Times New Roman" w:hAnsi="Times New Roman" w:cs="Times New Roman"/>
          <w:sz w:val="24"/>
          <w:szCs w:val="24"/>
        </w:rPr>
      </w:pPr>
      <w:r w:rsidRPr="00CA507F">
        <w:rPr>
          <w:rFonts w:ascii="Times New Roman" w:hAnsi="Times New Roman" w:cs="Times New Roman"/>
          <w:sz w:val="24"/>
          <w:szCs w:val="24"/>
        </w:rPr>
        <w:t>For</w:t>
      </w:r>
      <w:r w:rsidRPr="00CA507F">
        <w:rPr>
          <w:rFonts w:ascii="Times New Roman" w:hAnsi="Times New Roman" w:cs="Times New Roman"/>
          <w:b/>
          <w:sz w:val="24"/>
          <w:szCs w:val="24"/>
        </w:rPr>
        <w:t xml:space="preserve"> </w:t>
      </w:r>
      <w:r w:rsidRPr="00CA507F">
        <w:rPr>
          <w:rFonts w:ascii="Times New Roman" w:hAnsi="Times New Roman" w:cs="Times New Roman"/>
          <w:sz w:val="24"/>
          <w:szCs w:val="24"/>
        </w:rPr>
        <w:t>diversity efforts – connect to faculty culture and roles and rewards.</w:t>
      </w:r>
    </w:p>
    <w:p w:rsidR="00807DF5" w:rsidRPr="00CA507F" w:rsidRDefault="00807DF5" w:rsidP="00BE73CF">
      <w:pPr>
        <w:pStyle w:val="ListParagraph"/>
        <w:numPr>
          <w:ilvl w:val="0"/>
          <w:numId w:val="4"/>
        </w:numPr>
        <w:rPr>
          <w:rFonts w:ascii="Times New Roman" w:hAnsi="Times New Roman" w:cs="Times New Roman"/>
          <w:sz w:val="24"/>
          <w:szCs w:val="24"/>
        </w:rPr>
      </w:pPr>
      <w:r w:rsidRPr="00CA507F">
        <w:rPr>
          <w:rFonts w:ascii="Times New Roman" w:hAnsi="Times New Roman" w:cs="Times New Roman"/>
          <w:sz w:val="24"/>
          <w:szCs w:val="24"/>
        </w:rPr>
        <w:t>For civic engagement efforts – connect to teaching and learning for a diversity of learners; connect to faculty scholarship and reward policies</w:t>
      </w:r>
    </w:p>
    <w:p w:rsidR="00807DF5" w:rsidRPr="00CA507F" w:rsidRDefault="00807DF5" w:rsidP="00BE73CF">
      <w:pPr>
        <w:pStyle w:val="ListParagraph"/>
        <w:numPr>
          <w:ilvl w:val="0"/>
          <w:numId w:val="4"/>
        </w:numPr>
        <w:rPr>
          <w:rFonts w:ascii="Times New Roman" w:hAnsi="Times New Roman" w:cs="Times New Roman"/>
          <w:sz w:val="24"/>
          <w:szCs w:val="24"/>
        </w:rPr>
      </w:pPr>
      <w:r w:rsidRPr="00CA507F">
        <w:rPr>
          <w:rFonts w:ascii="Times New Roman" w:hAnsi="Times New Roman" w:cs="Times New Roman"/>
          <w:sz w:val="24"/>
          <w:szCs w:val="24"/>
        </w:rPr>
        <w:t>For institutions – structural connections, faculty roles and rewards, faculty development</w:t>
      </w:r>
    </w:p>
    <w:p w:rsidR="002A3614" w:rsidRPr="00CA507F" w:rsidRDefault="002A3614" w:rsidP="00BE73CF">
      <w:pPr>
        <w:pStyle w:val="ListParagraph"/>
        <w:numPr>
          <w:ilvl w:val="0"/>
          <w:numId w:val="4"/>
        </w:numPr>
        <w:rPr>
          <w:rFonts w:ascii="Times New Roman" w:hAnsi="Times New Roman" w:cs="Times New Roman"/>
          <w:sz w:val="24"/>
          <w:szCs w:val="24"/>
        </w:rPr>
      </w:pPr>
      <w:r w:rsidRPr="00CA507F">
        <w:rPr>
          <w:rFonts w:ascii="Times New Roman" w:hAnsi="Times New Roman" w:cs="Times New Roman"/>
          <w:sz w:val="24"/>
          <w:szCs w:val="24"/>
        </w:rPr>
        <w:t>For institutions –</w:t>
      </w:r>
      <w:r w:rsidR="00CA507F" w:rsidRPr="00CA507F">
        <w:rPr>
          <w:rFonts w:ascii="Times New Roman" w:hAnsi="Times New Roman" w:cs="Times New Roman"/>
          <w:sz w:val="24"/>
          <w:szCs w:val="24"/>
        </w:rPr>
        <w:t xml:space="preserve"> </w:t>
      </w:r>
      <w:r w:rsidR="00212E47" w:rsidRPr="00CA507F">
        <w:rPr>
          <w:rFonts w:ascii="Times New Roman" w:hAnsi="Times New Roman" w:cs="Times New Roman"/>
          <w:sz w:val="24"/>
          <w:szCs w:val="24"/>
        </w:rPr>
        <w:t>foster in structural connection</w:t>
      </w:r>
      <w:r w:rsidR="00CA507F" w:rsidRPr="00CA507F">
        <w:rPr>
          <w:rFonts w:ascii="Times New Roman" w:hAnsi="Times New Roman" w:cs="Times New Roman"/>
          <w:sz w:val="24"/>
          <w:szCs w:val="24"/>
        </w:rPr>
        <w:t>s</w:t>
      </w:r>
      <w:r w:rsidR="00212E47" w:rsidRPr="00CA507F">
        <w:rPr>
          <w:rFonts w:ascii="Times New Roman" w:hAnsi="Times New Roman" w:cs="Times New Roman"/>
          <w:sz w:val="24"/>
          <w:szCs w:val="24"/>
        </w:rPr>
        <w:t xml:space="preserve"> – unit – </w:t>
      </w:r>
      <w:proofErr w:type="spellStart"/>
      <w:r w:rsidR="00212E47" w:rsidRPr="00CA507F">
        <w:rPr>
          <w:rFonts w:ascii="Times New Roman" w:hAnsi="Times New Roman" w:cs="Times New Roman"/>
          <w:sz w:val="24"/>
          <w:szCs w:val="24"/>
        </w:rPr>
        <w:t>Schoem</w:t>
      </w:r>
      <w:proofErr w:type="spellEnd"/>
    </w:p>
    <w:p w:rsidR="00807DF5" w:rsidRPr="00CA507F" w:rsidRDefault="00807DF5" w:rsidP="00BE73CF">
      <w:pPr>
        <w:pStyle w:val="ListParagraph"/>
        <w:numPr>
          <w:ilvl w:val="0"/>
          <w:numId w:val="4"/>
        </w:numPr>
        <w:rPr>
          <w:rFonts w:ascii="Times New Roman" w:hAnsi="Times New Roman" w:cs="Times New Roman"/>
          <w:sz w:val="24"/>
          <w:szCs w:val="24"/>
        </w:rPr>
      </w:pPr>
      <w:r w:rsidRPr="00CA507F">
        <w:rPr>
          <w:rFonts w:ascii="Times New Roman" w:hAnsi="Times New Roman" w:cs="Times New Roman"/>
          <w:sz w:val="24"/>
          <w:szCs w:val="24"/>
        </w:rPr>
        <w:t>For accreditation associations – performance indicators</w:t>
      </w:r>
    </w:p>
    <w:p w:rsidR="00CA507F" w:rsidRPr="00CA507F" w:rsidRDefault="00807DF5" w:rsidP="00BE73CF">
      <w:pPr>
        <w:pStyle w:val="ListParagraph"/>
        <w:numPr>
          <w:ilvl w:val="0"/>
          <w:numId w:val="4"/>
        </w:numPr>
        <w:rPr>
          <w:rFonts w:ascii="Times New Roman" w:hAnsi="Times New Roman" w:cs="Times New Roman"/>
          <w:sz w:val="24"/>
          <w:szCs w:val="24"/>
        </w:rPr>
      </w:pPr>
      <w:r w:rsidRPr="00CA507F">
        <w:rPr>
          <w:rFonts w:ascii="Times New Roman" w:hAnsi="Times New Roman" w:cs="Times New Roman"/>
          <w:sz w:val="24"/>
          <w:szCs w:val="24"/>
        </w:rPr>
        <w:t>For academic leade</w:t>
      </w:r>
      <w:r w:rsidR="00CA507F" w:rsidRPr="00CA507F">
        <w:rPr>
          <w:rFonts w:ascii="Times New Roman" w:hAnsi="Times New Roman" w:cs="Times New Roman"/>
          <w:sz w:val="24"/>
          <w:szCs w:val="24"/>
        </w:rPr>
        <w:t>rship – integration of efforts</w:t>
      </w:r>
    </w:p>
    <w:p w:rsidR="00807DF5" w:rsidRPr="00BE73CF" w:rsidRDefault="00807DF5" w:rsidP="00BE73CF">
      <w:pPr>
        <w:pStyle w:val="ListParagraph"/>
        <w:numPr>
          <w:ilvl w:val="0"/>
          <w:numId w:val="4"/>
        </w:numPr>
        <w:rPr>
          <w:rFonts w:ascii="Garamond" w:hAnsi="Garamond" w:cs="Times New Roman"/>
          <w:sz w:val="24"/>
          <w:szCs w:val="24"/>
        </w:rPr>
      </w:pPr>
      <w:proofErr w:type="gramStart"/>
      <w:r w:rsidRPr="00CA507F">
        <w:rPr>
          <w:rFonts w:ascii="Times New Roman" w:hAnsi="Times New Roman" w:cs="Times New Roman"/>
          <w:sz w:val="24"/>
          <w:szCs w:val="24"/>
        </w:rPr>
        <w:t>graduate</w:t>
      </w:r>
      <w:proofErr w:type="gramEnd"/>
      <w:r w:rsidRPr="00CA507F">
        <w:rPr>
          <w:rFonts w:ascii="Times New Roman" w:hAnsi="Times New Roman" w:cs="Times New Roman"/>
          <w:sz w:val="24"/>
          <w:szCs w:val="24"/>
        </w:rPr>
        <w:t xml:space="preserve"> education</w:t>
      </w:r>
    </w:p>
    <w:p w:rsidR="00807DF5" w:rsidRDefault="00807DF5" w:rsidP="00807DF5">
      <w:pPr>
        <w:rPr>
          <w:rFonts w:ascii="Times New Roman" w:hAnsi="Times New Roman" w:cs="Times New Roman"/>
        </w:rPr>
      </w:pPr>
    </w:p>
    <w:p w:rsidR="00807DF5" w:rsidRPr="00807DF5" w:rsidRDefault="00807DF5" w:rsidP="00807DF5">
      <w:pPr>
        <w:jc w:val="center"/>
        <w:rPr>
          <w:rFonts w:ascii="Times New Roman" w:hAnsi="Times New Roman" w:cs="Times New Roman"/>
          <w:b/>
        </w:rPr>
      </w:pPr>
      <w:r w:rsidRPr="00807DF5">
        <w:rPr>
          <w:rFonts w:ascii="Times New Roman" w:hAnsi="Times New Roman" w:cs="Times New Roman"/>
          <w:b/>
        </w:rPr>
        <w:t>V. Conclusion</w:t>
      </w:r>
    </w:p>
    <w:p w:rsidR="00807DF5" w:rsidRDefault="00807DF5" w:rsidP="00807DF5">
      <w:pPr>
        <w:autoSpaceDE w:val="0"/>
        <w:autoSpaceDN w:val="0"/>
        <w:adjustRightInd w:val="0"/>
        <w:rPr>
          <w:rFonts w:ascii="Times New Roman" w:hAnsi="Times New Roman" w:cs="Times New Roman"/>
        </w:rPr>
      </w:pPr>
    </w:p>
    <w:p w:rsidR="00807DF5" w:rsidRPr="00515371" w:rsidRDefault="00807DF5" w:rsidP="00807DF5">
      <w:pPr>
        <w:autoSpaceDE w:val="0"/>
        <w:autoSpaceDN w:val="0"/>
        <w:adjustRightInd w:val="0"/>
        <w:rPr>
          <w:rFonts w:ascii="Times New Roman" w:hAnsi="Times New Roman" w:cs="Times New Roman"/>
        </w:rPr>
      </w:pPr>
      <w:r w:rsidRPr="00515371">
        <w:rPr>
          <w:rFonts w:ascii="Times New Roman" w:hAnsi="Times New Roman" w:cs="Times New Roman"/>
        </w:rPr>
        <w:t xml:space="preserve">This line of inquiry and action </w:t>
      </w:r>
      <w:r>
        <w:rPr>
          <w:rFonts w:ascii="Times New Roman" w:hAnsi="Times New Roman" w:cs="Times New Roman"/>
        </w:rPr>
        <w:t>makes the claim</w:t>
      </w:r>
      <w:r w:rsidRPr="00515371">
        <w:rPr>
          <w:rFonts w:ascii="Times New Roman" w:hAnsi="Times New Roman" w:cs="Times New Roman"/>
        </w:rPr>
        <w:t xml:space="preserve"> that 1) if campuses are going to take student success seriously, they nee</w:t>
      </w:r>
      <w:r>
        <w:rPr>
          <w:rFonts w:ascii="Times New Roman" w:hAnsi="Times New Roman" w:cs="Times New Roman"/>
        </w:rPr>
        <w:t xml:space="preserve">d to </w:t>
      </w:r>
      <w:r w:rsidR="00637B4C">
        <w:rPr>
          <w:rFonts w:ascii="Times New Roman" w:hAnsi="Times New Roman" w:cs="Times New Roman"/>
        </w:rPr>
        <w:t>take civic engagement</w:t>
      </w:r>
      <w:r>
        <w:rPr>
          <w:rFonts w:ascii="Times New Roman" w:hAnsi="Times New Roman" w:cs="Times New Roman"/>
        </w:rPr>
        <w:t xml:space="preserve"> seriously,</w:t>
      </w:r>
      <w:r w:rsidRPr="00515371">
        <w:rPr>
          <w:rFonts w:ascii="Times New Roman" w:hAnsi="Times New Roman" w:cs="Times New Roman"/>
        </w:rPr>
        <w:t xml:space="preserve"> 2)</w:t>
      </w:r>
      <w:r>
        <w:rPr>
          <w:rFonts w:ascii="Times New Roman" w:hAnsi="Times New Roman" w:cs="Times New Roman"/>
        </w:rPr>
        <w:t xml:space="preserve"> if campuses are going to take diversity seriously, they need to take civic engagement seriously, and, 3) </w:t>
      </w:r>
      <w:r w:rsidRPr="00515371">
        <w:rPr>
          <w:rFonts w:ascii="Times New Roman" w:hAnsi="Times New Roman" w:cs="Times New Roman"/>
        </w:rPr>
        <w:t xml:space="preserve">if campuses are going to take new forms of knowledge generation </w:t>
      </w:r>
      <w:r>
        <w:rPr>
          <w:rFonts w:ascii="Times New Roman" w:hAnsi="Times New Roman" w:cs="Times New Roman"/>
        </w:rPr>
        <w:t xml:space="preserve">and discovery </w:t>
      </w:r>
      <w:r w:rsidRPr="00515371">
        <w:rPr>
          <w:rFonts w:ascii="Times New Roman" w:hAnsi="Times New Roman" w:cs="Times New Roman"/>
        </w:rPr>
        <w:t xml:space="preserve">seriously, they need to take engagement seriously. </w:t>
      </w:r>
      <w:r>
        <w:rPr>
          <w:rFonts w:ascii="Times New Roman" w:hAnsi="Times New Roman" w:cs="Times New Roman"/>
        </w:rPr>
        <w:t>For institutions of higher education to fulfill their</w:t>
      </w:r>
      <w:r w:rsidRPr="00515371">
        <w:rPr>
          <w:rFonts w:ascii="Times New Roman" w:hAnsi="Times New Roman" w:cs="Times New Roman"/>
        </w:rPr>
        <w:t xml:space="preserve"> missions and</w:t>
      </w:r>
      <w:r>
        <w:rPr>
          <w:rFonts w:ascii="Times New Roman" w:hAnsi="Times New Roman" w:cs="Times New Roman"/>
        </w:rPr>
        <w:t xml:space="preserve"> educate all</w:t>
      </w:r>
      <w:r w:rsidRPr="00515371">
        <w:rPr>
          <w:rFonts w:ascii="Times New Roman" w:hAnsi="Times New Roman" w:cs="Times New Roman"/>
        </w:rPr>
        <w:t xml:space="preserve"> students effectively</w:t>
      </w:r>
      <w:r>
        <w:rPr>
          <w:rFonts w:ascii="Times New Roman" w:hAnsi="Times New Roman" w:cs="Times New Roman"/>
        </w:rPr>
        <w:t>,</w:t>
      </w:r>
      <w:r w:rsidR="00637B4C">
        <w:rPr>
          <w:rFonts w:ascii="Times New Roman" w:hAnsi="Times New Roman" w:cs="Times New Roman"/>
        </w:rPr>
        <w:t xml:space="preserve"> they will need to diversify their</w:t>
      </w:r>
      <w:r w:rsidRPr="00515371">
        <w:rPr>
          <w:rFonts w:ascii="Times New Roman" w:hAnsi="Times New Roman" w:cs="Times New Roman"/>
        </w:rPr>
        <w:t xml:space="preserve"> faculty and</w:t>
      </w:r>
      <w:r w:rsidR="00637B4C">
        <w:rPr>
          <w:rFonts w:ascii="Times New Roman" w:hAnsi="Times New Roman" w:cs="Times New Roman"/>
        </w:rPr>
        <w:t xml:space="preserve"> provide environments where </w:t>
      </w:r>
      <w:r w:rsidR="00951BC4">
        <w:rPr>
          <w:rFonts w:ascii="Times New Roman" w:hAnsi="Times New Roman" w:cs="Times New Roman"/>
        </w:rPr>
        <w:t xml:space="preserve">all </w:t>
      </w:r>
      <w:r w:rsidR="00637B4C">
        <w:rPr>
          <w:rFonts w:ascii="Times New Roman" w:hAnsi="Times New Roman" w:cs="Times New Roman"/>
        </w:rPr>
        <w:t>students and faculty</w:t>
      </w:r>
      <w:r w:rsidRPr="00515371">
        <w:rPr>
          <w:rFonts w:ascii="Times New Roman" w:hAnsi="Times New Roman" w:cs="Times New Roman"/>
        </w:rPr>
        <w:t xml:space="preserve"> can thrive </w:t>
      </w:r>
      <w:r w:rsidR="00951BC4">
        <w:rPr>
          <w:rFonts w:ascii="Times New Roman" w:hAnsi="Times New Roman" w:cs="Times New Roman"/>
        </w:rPr>
        <w:t>as institutional citizens engaged in the fulfilling the rights and responsibilities of that citizenship in the institutions and in the wider public culture.</w:t>
      </w:r>
    </w:p>
    <w:p w:rsidR="00807DF5" w:rsidRPr="00807DF5" w:rsidRDefault="00807DF5" w:rsidP="00807DF5">
      <w:pPr>
        <w:rPr>
          <w:rFonts w:ascii="Times New Roman" w:hAnsi="Times New Roman" w:cs="Times New Roman"/>
        </w:rPr>
      </w:pPr>
    </w:p>
    <w:p w:rsidR="0015202C" w:rsidRPr="00834944" w:rsidRDefault="0015202C" w:rsidP="00DC3D7A">
      <w:pPr>
        <w:spacing w:beforeLines="1" w:afterLines="1"/>
        <w:rPr>
          <w:rFonts w:ascii="Times New Roman" w:hAnsi="Times New Roman" w:cs="Times New Roman"/>
          <w:i/>
        </w:rPr>
      </w:pPr>
    </w:p>
    <w:p w:rsidR="0015202C" w:rsidRPr="00834944" w:rsidRDefault="0015202C" w:rsidP="0015202C">
      <w:pPr>
        <w:rPr>
          <w:rFonts w:ascii="Times New Roman" w:hAnsi="Times New Roman" w:cs="Times New Roman"/>
          <w:b/>
        </w:rPr>
      </w:pPr>
      <w:r w:rsidRPr="00834944">
        <w:rPr>
          <w:rFonts w:ascii="Times New Roman" w:hAnsi="Times New Roman" w:cs="Times New Roman"/>
          <w:b/>
        </w:rPr>
        <w:t>References:</w:t>
      </w:r>
    </w:p>
    <w:p w:rsidR="0015202C" w:rsidRPr="00834944" w:rsidRDefault="0015202C" w:rsidP="0015202C">
      <w:pPr>
        <w:rPr>
          <w:rFonts w:ascii="Times New Roman" w:hAnsi="Times New Roman" w:cs="Times New Roman"/>
          <w:color w:val="141413"/>
        </w:rPr>
      </w:pPr>
      <w:proofErr w:type="gramStart"/>
      <w:r w:rsidRPr="00834944">
        <w:rPr>
          <w:rFonts w:ascii="Times New Roman" w:hAnsi="Times New Roman" w:cs="Times New Roman"/>
          <w:color w:val="141413"/>
        </w:rPr>
        <w:t>Antonio, A. L. 2002.</w:t>
      </w:r>
      <w:proofErr w:type="gramEnd"/>
      <w:r w:rsidRPr="00834944">
        <w:rPr>
          <w:rFonts w:ascii="Times New Roman" w:hAnsi="Times New Roman" w:cs="Times New Roman"/>
          <w:color w:val="141413"/>
        </w:rPr>
        <w:t xml:space="preserve"> Faculty of color reconsidered: Reassessing contributions to scholarship. </w:t>
      </w:r>
      <w:r w:rsidRPr="00834944">
        <w:rPr>
          <w:rFonts w:ascii="Times New Roman" w:hAnsi="Times New Roman" w:cs="Times New Roman"/>
          <w:i/>
          <w:color w:val="141413"/>
        </w:rPr>
        <w:t>The Journal of Higher Education</w:t>
      </w:r>
      <w:r w:rsidRPr="00834944">
        <w:rPr>
          <w:rFonts w:ascii="Times New Roman" w:hAnsi="Times New Roman" w:cs="Times New Roman"/>
          <w:color w:val="141413"/>
        </w:rPr>
        <w:t xml:space="preserve"> 73 (5): 582-602.</w:t>
      </w:r>
    </w:p>
    <w:p w:rsidR="0015202C" w:rsidRPr="00834944" w:rsidRDefault="0015202C" w:rsidP="001520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rPr>
      </w:pPr>
    </w:p>
    <w:p w:rsidR="0015202C" w:rsidRPr="00834944" w:rsidRDefault="0015202C" w:rsidP="001520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rPr>
      </w:pPr>
      <w:proofErr w:type="gramStart"/>
      <w:r w:rsidRPr="00834944">
        <w:rPr>
          <w:rFonts w:ascii="Times New Roman" w:hAnsi="Times New Roman" w:cs="Times New Roman"/>
          <w:color w:val="141413"/>
        </w:rPr>
        <w:t xml:space="preserve">Antonio, A. L., </w:t>
      </w:r>
      <w:proofErr w:type="spellStart"/>
      <w:r w:rsidRPr="00834944">
        <w:rPr>
          <w:rFonts w:ascii="Times New Roman" w:hAnsi="Times New Roman" w:cs="Times New Roman"/>
          <w:color w:val="141413"/>
        </w:rPr>
        <w:t>Astin</w:t>
      </w:r>
      <w:proofErr w:type="spellEnd"/>
      <w:r w:rsidRPr="00834944">
        <w:rPr>
          <w:rFonts w:ascii="Times New Roman" w:hAnsi="Times New Roman" w:cs="Times New Roman"/>
          <w:color w:val="141413"/>
        </w:rPr>
        <w:t>, H. S., &amp; Cress, C. M. (2000).</w:t>
      </w:r>
      <w:proofErr w:type="gramEnd"/>
      <w:r w:rsidRPr="00834944">
        <w:rPr>
          <w:rFonts w:ascii="Times New Roman" w:hAnsi="Times New Roman" w:cs="Times New Roman"/>
          <w:color w:val="141413"/>
        </w:rPr>
        <w:t xml:space="preserve"> Community service in higher education: A look at the nation’s faculty. </w:t>
      </w:r>
      <w:r w:rsidRPr="00834944">
        <w:rPr>
          <w:rFonts w:ascii="Times New Roman" w:hAnsi="Times New Roman" w:cs="Times New Roman"/>
          <w:i/>
          <w:color w:val="141413"/>
        </w:rPr>
        <w:t>The Review of Higher Education</w:t>
      </w:r>
      <w:r w:rsidRPr="00834944">
        <w:rPr>
          <w:rFonts w:ascii="Times New Roman" w:hAnsi="Times New Roman" w:cs="Times New Roman"/>
          <w:color w:val="141413"/>
        </w:rPr>
        <w:t>, 23(4) 373–398.</w:t>
      </w:r>
    </w:p>
    <w:p w:rsidR="0015202C" w:rsidRPr="00834944" w:rsidRDefault="0015202C" w:rsidP="001520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rPr>
      </w:pPr>
    </w:p>
    <w:p w:rsidR="0015202C" w:rsidRPr="00834944" w:rsidRDefault="0015202C" w:rsidP="001520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rPr>
      </w:pPr>
      <w:r w:rsidRPr="00834944">
        <w:rPr>
          <w:rFonts w:ascii="Times New Roman" w:hAnsi="Times New Roman" w:cs="Times New Roman"/>
          <w:color w:val="141413"/>
        </w:rPr>
        <w:t xml:space="preserve">Baez, B. (2000). Race-related service and faculty of color: Conceptualizing critical agency in academe. </w:t>
      </w:r>
      <w:r w:rsidRPr="00834944">
        <w:rPr>
          <w:rFonts w:ascii="Times New Roman" w:hAnsi="Times New Roman" w:cs="Times New Roman"/>
          <w:i/>
          <w:color w:val="141413"/>
        </w:rPr>
        <w:t>Higher Education</w:t>
      </w:r>
      <w:r w:rsidRPr="00834944">
        <w:rPr>
          <w:rFonts w:ascii="Times New Roman" w:hAnsi="Times New Roman" w:cs="Times New Roman"/>
          <w:color w:val="141413"/>
        </w:rPr>
        <w:t>, 39, 363–391.</w:t>
      </w:r>
    </w:p>
    <w:p w:rsidR="0015202C" w:rsidRPr="00834944" w:rsidRDefault="0015202C" w:rsidP="001520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rPr>
      </w:pPr>
    </w:p>
    <w:p w:rsidR="0015202C" w:rsidRPr="00834944" w:rsidRDefault="0015202C" w:rsidP="001520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rPr>
      </w:pPr>
      <w:r w:rsidRPr="00834944">
        <w:rPr>
          <w:rFonts w:ascii="Times New Roman" w:hAnsi="Times New Roman" w:cs="Times New Roman"/>
          <w:color w:val="141413"/>
        </w:rPr>
        <w:t xml:space="preserve">Bok, D. C. (2003) </w:t>
      </w:r>
      <w:r w:rsidRPr="00834944">
        <w:rPr>
          <w:rFonts w:ascii="Times New Roman" w:hAnsi="Times New Roman" w:cs="Times New Roman"/>
          <w:i/>
          <w:color w:val="141413"/>
        </w:rPr>
        <w:t>Universities in the Marketplace: The Commercialization of Higher Education</w:t>
      </w:r>
      <w:r w:rsidRPr="00834944">
        <w:rPr>
          <w:rFonts w:ascii="Times New Roman" w:hAnsi="Times New Roman" w:cs="Times New Roman"/>
          <w:color w:val="141413"/>
        </w:rPr>
        <w:t>. Princeton, NJ: Princeton University Press.</w:t>
      </w:r>
    </w:p>
    <w:p w:rsidR="0015202C" w:rsidRPr="00834944" w:rsidRDefault="0015202C" w:rsidP="001520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rPr>
      </w:pPr>
    </w:p>
    <w:p w:rsidR="0015202C" w:rsidRPr="00834944" w:rsidRDefault="0015202C" w:rsidP="0015202C">
      <w:pPr>
        <w:rPr>
          <w:rFonts w:ascii="Times New Roman" w:hAnsi="Times New Roman" w:cs="Times New Roman"/>
        </w:rPr>
      </w:pPr>
      <w:r w:rsidRPr="00834944">
        <w:rPr>
          <w:rFonts w:ascii="Times New Roman" w:hAnsi="Times New Roman" w:cs="Times New Roman"/>
        </w:rPr>
        <w:t xml:space="preserve">Cress, C.M., </w:t>
      </w:r>
      <w:proofErr w:type="spellStart"/>
      <w:r w:rsidRPr="00834944">
        <w:rPr>
          <w:rFonts w:ascii="Times New Roman" w:hAnsi="Times New Roman" w:cs="Times New Roman"/>
        </w:rPr>
        <w:t>Burack</w:t>
      </w:r>
      <w:proofErr w:type="spellEnd"/>
      <w:r w:rsidRPr="00834944">
        <w:rPr>
          <w:rFonts w:ascii="Times New Roman" w:hAnsi="Times New Roman" w:cs="Times New Roman"/>
        </w:rPr>
        <w:t xml:space="preserve">, C., Giles, D. E., Jr., Elkins, J, Stevens, </w:t>
      </w:r>
      <w:proofErr w:type="gramStart"/>
      <w:r w:rsidRPr="00834944">
        <w:rPr>
          <w:rFonts w:ascii="Times New Roman" w:hAnsi="Times New Roman" w:cs="Times New Roman"/>
        </w:rPr>
        <w:t>M.C.</w:t>
      </w:r>
      <w:proofErr w:type="gramEnd"/>
      <w:r w:rsidRPr="00834944">
        <w:rPr>
          <w:rFonts w:ascii="Times New Roman" w:hAnsi="Times New Roman" w:cs="Times New Roman"/>
        </w:rPr>
        <w:t xml:space="preserve"> (2010) </w:t>
      </w:r>
      <w:r w:rsidRPr="00834944">
        <w:rPr>
          <w:rFonts w:ascii="Times New Roman" w:hAnsi="Times New Roman" w:cs="Times New Roman"/>
          <w:i/>
        </w:rPr>
        <w:t>A Promising Connection: Increasing College Access and Success through Civic Engagement</w:t>
      </w:r>
      <w:r w:rsidRPr="00834944">
        <w:rPr>
          <w:rFonts w:ascii="Times New Roman" w:hAnsi="Times New Roman" w:cs="Times New Roman"/>
        </w:rPr>
        <w:t>. Boston, MA: Campus Compact.</w:t>
      </w:r>
    </w:p>
    <w:p w:rsidR="0015202C" w:rsidRPr="00834944" w:rsidRDefault="0015202C" w:rsidP="0015202C">
      <w:pPr>
        <w:rPr>
          <w:rFonts w:ascii="Times New Roman" w:hAnsi="Times New Roman" w:cs="Times New Roman"/>
        </w:rPr>
      </w:pPr>
    </w:p>
    <w:p w:rsidR="0015202C" w:rsidRPr="00834944" w:rsidRDefault="0015202C" w:rsidP="001520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834944">
        <w:rPr>
          <w:rFonts w:ascii="Times New Roman" w:hAnsi="Times New Roman" w:cs="Times New Roman"/>
        </w:rPr>
        <w:t>Ellison, J.</w:t>
      </w:r>
      <w:proofErr w:type="gramStart"/>
      <w:r w:rsidRPr="00834944">
        <w:rPr>
          <w:rFonts w:ascii="Times New Roman" w:hAnsi="Times New Roman" w:cs="Times New Roman"/>
        </w:rPr>
        <w:t>,  and</w:t>
      </w:r>
      <w:proofErr w:type="gramEnd"/>
      <w:r w:rsidRPr="00834944">
        <w:rPr>
          <w:rFonts w:ascii="Times New Roman" w:hAnsi="Times New Roman" w:cs="Times New Roman"/>
        </w:rPr>
        <w:t xml:space="preserve"> </w:t>
      </w:r>
      <w:proofErr w:type="spellStart"/>
      <w:r w:rsidRPr="00834944">
        <w:rPr>
          <w:rFonts w:ascii="Times New Roman" w:hAnsi="Times New Roman" w:cs="Times New Roman"/>
        </w:rPr>
        <w:t>Eatman</w:t>
      </w:r>
      <w:proofErr w:type="spellEnd"/>
      <w:r w:rsidRPr="00834944">
        <w:rPr>
          <w:rFonts w:ascii="Times New Roman" w:hAnsi="Times New Roman" w:cs="Times New Roman"/>
        </w:rPr>
        <w:t xml:space="preserve">, T.K. (2008) </w:t>
      </w:r>
      <w:r w:rsidRPr="00834944">
        <w:rPr>
          <w:rFonts w:ascii="Times New Roman" w:hAnsi="Times New Roman" w:cs="Times New Roman"/>
          <w:i/>
        </w:rPr>
        <w:t>Scholarship in Public: Knowledge Creation and Tenure Policy in the Engaged University</w:t>
      </w:r>
      <w:r w:rsidRPr="00834944">
        <w:rPr>
          <w:rFonts w:ascii="Times New Roman" w:hAnsi="Times New Roman" w:cs="Times New Roman"/>
        </w:rPr>
        <w:t>. Imagining America: Artists and Scholars in Public Life Tenure Team Initiative on Public Scholarship.</w:t>
      </w:r>
    </w:p>
    <w:p w:rsidR="0015202C" w:rsidRPr="00834944" w:rsidRDefault="0015202C" w:rsidP="0015202C">
      <w:pPr>
        <w:widowControl w:val="0"/>
        <w:tabs>
          <w:tab w:val="left" w:pos="720"/>
          <w:tab w:val="left" w:pos="1440"/>
          <w:tab w:val="left" w:pos="2160"/>
        </w:tabs>
        <w:autoSpaceDE w:val="0"/>
        <w:autoSpaceDN w:val="0"/>
        <w:adjustRightInd w:val="0"/>
        <w:rPr>
          <w:rFonts w:ascii="Times New Roman" w:hAnsi="Times New Roman" w:cs="Times New Roman"/>
        </w:rPr>
      </w:pPr>
      <w:r w:rsidRPr="00834944">
        <w:rPr>
          <w:rFonts w:ascii="Times New Roman" w:hAnsi="Times New Roman" w:cs="Times New Roman"/>
        </w:rPr>
        <w:tab/>
      </w:r>
      <w:r w:rsidRPr="00834944">
        <w:rPr>
          <w:rFonts w:ascii="Times New Roman" w:hAnsi="Times New Roman" w:cs="Times New Roman"/>
        </w:rPr>
        <w:tab/>
      </w:r>
      <w:r w:rsidRPr="00834944">
        <w:rPr>
          <w:rFonts w:ascii="Times New Roman" w:hAnsi="Times New Roman" w:cs="Times New Roman"/>
        </w:rPr>
        <w:tab/>
      </w:r>
      <w:r w:rsidRPr="00834944">
        <w:rPr>
          <w:rFonts w:ascii="Times New Roman" w:hAnsi="Times New Roman" w:cs="Times New Roman"/>
        </w:rPr>
        <w:tab/>
      </w:r>
    </w:p>
    <w:p w:rsidR="0015202C" w:rsidRPr="00834944" w:rsidRDefault="0015202C" w:rsidP="001520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rPr>
      </w:pPr>
      <w:r w:rsidRPr="00834944">
        <w:rPr>
          <w:rFonts w:ascii="Times New Roman" w:eastAsia="Times New Roman" w:hAnsi="Times New Roman" w:cs="Times New Roman"/>
        </w:rPr>
        <w:t xml:space="preserve">Hale, </w:t>
      </w:r>
      <w:proofErr w:type="spellStart"/>
      <w:r w:rsidRPr="00834944">
        <w:rPr>
          <w:rFonts w:ascii="Times New Roman" w:eastAsia="Times New Roman" w:hAnsi="Times New Roman" w:cs="Times New Roman"/>
        </w:rPr>
        <w:t>C.R.</w:t>
      </w:r>
      <w:proofErr w:type="gramStart"/>
      <w:r w:rsidRPr="00834944">
        <w:rPr>
          <w:rFonts w:ascii="Times New Roman" w:eastAsia="Times New Roman" w:hAnsi="Times New Roman" w:cs="Times New Roman"/>
        </w:rPr>
        <w:t>,Ed</w:t>
      </w:r>
      <w:proofErr w:type="spellEnd"/>
      <w:proofErr w:type="gramEnd"/>
      <w:r w:rsidRPr="00834944">
        <w:rPr>
          <w:rFonts w:ascii="Times New Roman" w:eastAsia="Times New Roman" w:hAnsi="Times New Roman" w:cs="Times New Roman"/>
        </w:rPr>
        <w:t>. (2008) Engaging Contradictions: Theory, Politics, and Methods of Activist Scholarship, Berkeley, CA: GAIA Books, Global, Area, and International Archive, University of California Press</w:t>
      </w:r>
    </w:p>
    <w:p w:rsidR="0015202C" w:rsidRPr="00834944" w:rsidRDefault="0015202C" w:rsidP="001520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15202C" w:rsidRPr="00834944" w:rsidRDefault="0015202C" w:rsidP="001520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roofErr w:type="spellStart"/>
      <w:r w:rsidRPr="00834944">
        <w:rPr>
          <w:rFonts w:ascii="Times New Roman" w:hAnsi="Times New Roman" w:cs="Times New Roman"/>
          <w:color w:val="000000"/>
        </w:rPr>
        <w:t>Hurtado</w:t>
      </w:r>
      <w:proofErr w:type="spellEnd"/>
      <w:r w:rsidRPr="00834944">
        <w:rPr>
          <w:rFonts w:ascii="Times New Roman" w:hAnsi="Times New Roman" w:cs="Times New Roman"/>
          <w:color w:val="000000"/>
        </w:rPr>
        <w:t xml:space="preserve">, </w:t>
      </w:r>
      <w:proofErr w:type="gramStart"/>
      <w:r w:rsidRPr="00834944">
        <w:rPr>
          <w:rFonts w:ascii="Times New Roman" w:hAnsi="Times New Roman" w:cs="Times New Roman"/>
          <w:color w:val="000000"/>
        </w:rPr>
        <w:t>S .</w:t>
      </w:r>
      <w:proofErr w:type="gramEnd"/>
      <w:r w:rsidRPr="00834944">
        <w:rPr>
          <w:rFonts w:ascii="Times New Roman" w:hAnsi="Times New Roman" w:cs="Times New Roman"/>
          <w:color w:val="000000"/>
        </w:rPr>
        <w:t xml:space="preserve"> (2001) Linking diversity and educational </w:t>
      </w:r>
      <w:proofErr w:type="gramStart"/>
      <w:r w:rsidRPr="00834944">
        <w:rPr>
          <w:rFonts w:ascii="Times New Roman" w:hAnsi="Times New Roman" w:cs="Times New Roman"/>
          <w:color w:val="000000"/>
        </w:rPr>
        <w:t>purpose :</w:t>
      </w:r>
      <w:proofErr w:type="gramEnd"/>
      <w:r w:rsidRPr="00834944">
        <w:rPr>
          <w:rFonts w:ascii="Times New Roman" w:hAnsi="Times New Roman" w:cs="Times New Roman"/>
          <w:color w:val="000000"/>
        </w:rPr>
        <w:t xml:space="preserve"> How diversity affects the classroom environment and student development . In G. </w:t>
      </w:r>
      <w:proofErr w:type="spellStart"/>
      <w:r w:rsidRPr="00834944">
        <w:rPr>
          <w:rFonts w:ascii="Times New Roman" w:hAnsi="Times New Roman" w:cs="Times New Roman"/>
          <w:color w:val="000000"/>
        </w:rPr>
        <w:t>Orfield</w:t>
      </w:r>
      <w:proofErr w:type="spellEnd"/>
      <w:r w:rsidRPr="00834944">
        <w:rPr>
          <w:rFonts w:ascii="Times New Roman" w:hAnsi="Times New Roman" w:cs="Times New Roman"/>
          <w:color w:val="000000"/>
        </w:rPr>
        <w:t xml:space="preserve"> (</w:t>
      </w:r>
      <w:proofErr w:type="gramStart"/>
      <w:r w:rsidRPr="00834944">
        <w:rPr>
          <w:rFonts w:ascii="Times New Roman" w:hAnsi="Times New Roman" w:cs="Times New Roman"/>
          <w:color w:val="000000"/>
        </w:rPr>
        <w:t>Ed .</w:t>
      </w:r>
      <w:proofErr w:type="gramEnd"/>
      <w:r w:rsidRPr="00834944">
        <w:rPr>
          <w:rFonts w:ascii="Times New Roman" w:hAnsi="Times New Roman" w:cs="Times New Roman"/>
          <w:color w:val="000000"/>
        </w:rPr>
        <w:t xml:space="preserve">), </w:t>
      </w:r>
      <w:r w:rsidRPr="00834944">
        <w:rPr>
          <w:rFonts w:ascii="Times New Roman" w:hAnsi="Times New Roman" w:cs="Times New Roman"/>
          <w:i/>
          <w:iCs/>
          <w:color w:val="000000"/>
        </w:rPr>
        <w:t xml:space="preserve">Diversity challenged: Evidence on the impact of affirmative action </w:t>
      </w:r>
      <w:r w:rsidRPr="00834944">
        <w:rPr>
          <w:rFonts w:ascii="Times New Roman" w:hAnsi="Times New Roman" w:cs="Times New Roman"/>
          <w:color w:val="000000"/>
        </w:rPr>
        <w:t xml:space="preserve">(pp . 187-203) . Cambridge, MA: Harvard Education Publishing Group and The Civil Rights Project at Harvard University. </w:t>
      </w:r>
    </w:p>
    <w:p w:rsidR="0015202C" w:rsidRPr="00834944" w:rsidRDefault="0015202C" w:rsidP="001520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15202C" w:rsidRPr="00834944" w:rsidRDefault="0015202C" w:rsidP="001520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rPr>
      </w:pPr>
      <w:proofErr w:type="spellStart"/>
      <w:proofErr w:type="gramStart"/>
      <w:r w:rsidRPr="00834944">
        <w:rPr>
          <w:rFonts w:ascii="Times New Roman" w:eastAsia="Times New Roman" w:hAnsi="Times New Roman" w:cs="Times New Roman"/>
          <w:bCs/>
        </w:rPr>
        <w:t>Hurtado</w:t>
      </w:r>
      <w:proofErr w:type="spellEnd"/>
      <w:r w:rsidRPr="00834944">
        <w:rPr>
          <w:rFonts w:ascii="Times New Roman" w:eastAsia="Times New Roman" w:hAnsi="Times New Roman" w:cs="Times New Roman"/>
          <w:bCs/>
        </w:rPr>
        <w:t xml:space="preserve">, S. (2007) </w:t>
      </w:r>
      <w:r w:rsidRPr="00834944">
        <w:rPr>
          <w:rFonts w:ascii="Times New Roman" w:eastAsia="Times New Roman" w:hAnsi="Times New Roman" w:cs="Times New Roman"/>
          <w:i/>
          <w:iCs/>
        </w:rPr>
        <w:t>Linking Diversity with the Educational and Civic Missions of Higher Education</w:t>
      </w:r>
      <w:r w:rsidRPr="00834944">
        <w:rPr>
          <w:rFonts w:ascii="Times New Roman" w:eastAsia="Times New Roman" w:hAnsi="Times New Roman" w:cs="Times New Roman"/>
        </w:rPr>
        <w:t>.</w:t>
      </w:r>
      <w:proofErr w:type="gramEnd"/>
      <w:r w:rsidRPr="00834944">
        <w:rPr>
          <w:rFonts w:ascii="Times New Roman" w:eastAsia="Times New Roman" w:hAnsi="Times New Roman" w:cs="Times New Roman"/>
        </w:rPr>
        <w:t xml:space="preserve"> </w:t>
      </w:r>
      <w:proofErr w:type="gramStart"/>
      <w:r w:rsidRPr="00834944">
        <w:rPr>
          <w:rFonts w:ascii="Times New Roman" w:eastAsia="Times New Roman" w:hAnsi="Times New Roman" w:cs="Times New Roman"/>
        </w:rPr>
        <w:t>The Review of Higher Education.</w:t>
      </w:r>
      <w:proofErr w:type="gramEnd"/>
      <w:r w:rsidRPr="00834944">
        <w:rPr>
          <w:rFonts w:ascii="Times New Roman" w:eastAsia="Times New Roman" w:hAnsi="Times New Roman" w:cs="Times New Roman"/>
        </w:rPr>
        <w:t xml:space="preserve"> Volume 30, Number 2, Winter 2007, pp. 185-196.</w:t>
      </w:r>
    </w:p>
    <w:p w:rsidR="0015202C" w:rsidRPr="00834944" w:rsidRDefault="0015202C" w:rsidP="0015202C">
      <w:pPr>
        <w:rPr>
          <w:rFonts w:ascii="Times New Roman" w:eastAsia="Times New Roman" w:hAnsi="Times New Roman" w:cs="Times New Roman"/>
        </w:rPr>
      </w:pPr>
    </w:p>
    <w:p w:rsidR="0015202C" w:rsidRPr="00834944" w:rsidRDefault="0015202C" w:rsidP="0015202C">
      <w:pPr>
        <w:rPr>
          <w:rFonts w:ascii="Times New Roman" w:eastAsia="Times New Roman" w:hAnsi="Times New Roman" w:cs="Times New Roman"/>
        </w:rPr>
      </w:pPr>
      <w:r w:rsidRPr="00834944">
        <w:rPr>
          <w:rFonts w:ascii="Times New Roman" w:eastAsia="Times New Roman" w:hAnsi="Times New Roman" w:cs="Times New Roman"/>
        </w:rPr>
        <w:t xml:space="preserve">Ibarra, R.A. (2001) </w:t>
      </w:r>
      <w:r w:rsidRPr="00834944">
        <w:rPr>
          <w:rFonts w:ascii="Times New Roman" w:eastAsia="Times New Roman" w:hAnsi="Times New Roman" w:cs="Times New Roman"/>
          <w:i/>
        </w:rPr>
        <w:t>Beyond Affirmative Action: Reframing the Context of Higher Education.</w:t>
      </w:r>
      <w:r w:rsidRPr="00834944">
        <w:rPr>
          <w:rFonts w:ascii="Times New Roman" w:eastAsia="Times New Roman" w:hAnsi="Times New Roman" w:cs="Times New Roman"/>
        </w:rPr>
        <w:t xml:space="preserve"> </w:t>
      </w:r>
      <w:proofErr w:type="gramStart"/>
      <w:r w:rsidRPr="00834944">
        <w:rPr>
          <w:rFonts w:ascii="Times New Roman" w:eastAsia="Times New Roman" w:hAnsi="Times New Roman" w:cs="Times New Roman"/>
        </w:rPr>
        <w:t>University of Wisconsin Press.</w:t>
      </w:r>
      <w:proofErr w:type="gramEnd"/>
      <w:r w:rsidRPr="00834944">
        <w:rPr>
          <w:rFonts w:ascii="Times New Roman" w:eastAsia="Times New Roman" w:hAnsi="Times New Roman" w:cs="Times New Roman"/>
        </w:rPr>
        <w:t xml:space="preserve"> </w:t>
      </w:r>
      <w:r w:rsidRPr="00834944">
        <w:rPr>
          <w:rFonts w:ascii="Times New Roman" w:eastAsia="Times New Roman" w:hAnsi="Times New Roman" w:cs="Times New Roman"/>
        </w:rPr>
        <w:br/>
      </w:r>
    </w:p>
    <w:p w:rsidR="0015202C" w:rsidRPr="00834944" w:rsidRDefault="0015202C" w:rsidP="0015202C">
      <w:pPr>
        <w:rPr>
          <w:rFonts w:ascii="Times New Roman" w:eastAsia="Times New Roman" w:hAnsi="Times New Roman" w:cs="Times New Roman"/>
        </w:rPr>
      </w:pPr>
      <w:proofErr w:type="spellStart"/>
      <w:r w:rsidRPr="00834944">
        <w:rPr>
          <w:rFonts w:ascii="Times New Roman" w:eastAsia="Times New Roman" w:hAnsi="Times New Roman" w:cs="Times New Roman"/>
        </w:rPr>
        <w:t>Kuh</w:t>
      </w:r>
      <w:proofErr w:type="spellEnd"/>
      <w:r w:rsidRPr="00834944">
        <w:rPr>
          <w:rFonts w:ascii="Times New Roman" w:eastAsia="Times New Roman" w:hAnsi="Times New Roman" w:cs="Times New Roman"/>
        </w:rPr>
        <w:t xml:space="preserve">, G.D. (2008) </w:t>
      </w:r>
      <w:r w:rsidRPr="00834944">
        <w:rPr>
          <w:rFonts w:ascii="Times New Roman" w:eastAsia="Times New Roman" w:hAnsi="Times New Roman" w:cs="Times New Roman"/>
          <w:i/>
        </w:rPr>
        <w:t>High-Impact Educational Practices: What They Are, Who Has Access to Them, and Why They Matter.</w:t>
      </w:r>
      <w:r w:rsidRPr="00834944">
        <w:rPr>
          <w:rFonts w:ascii="Times New Roman" w:eastAsia="Times New Roman" w:hAnsi="Times New Roman" w:cs="Times New Roman"/>
        </w:rPr>
        <w:t xml:space="preserve"> Washington, DC:  Association of American Colleges and Universities</w:t>
      </w:r>
    </w:p>
    <w:p w:rsidR="0015202C" w:rsidRPr="00834944" w:rsidRDefault="0015202C" w:rsidP="001520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15202C" w:rsidRPr="00834944" w:rsidRDefault="0015202C" w:rsidP="0015202C">
      <w:pPr>
        <w:rPr>
          <w:rFonts w:ascii="Times New Roman" w:hAnsi="Times New Roman" w:cs="Times New Roman"/>
          <w:color w:val="141413"/>
        </w:rPr>
      </w:pPr>
      <w:proofErr w:type="spellStart"/>
      <w:r w:rsidRPr="00834944">
        <w:rPr>
          <w:rFonts w:ascii="Times New Roman" w:hAnsi="Times New Roman" w:cs="Times New Roman"/>
          <w:color w:val="141413"/>
        </w:rPr>
        <w:t>Milem</w:t>
      </w:r>
      <w:proofErr w:type="spellEnd"/>
      <w:r w:rsidRPr="00834944">
        <w:rPr>
          <w:rFonts w:ascii="Times New Roman" w:hAnsi="Times New Roman" w:cs="Times New Roman"/>
          <w:color w:val="141413"/>
        </w:rPr>
        <w:t xml:space="preserve">, J. F., M. J. Chang, and A. L. Antonio. 2005. </w:t>
      </w:r>
      <w:r w:rsidRPr="00834944">
        <w:rPr>
          <w:rFonts w:ascii="Times New Roman" w:hAnsi="Times New Roman" w:cs="Times New Roman"/>
          <w:i/>
          <w:color w:val="141413"/>
        </w:rPr>
        <w:t>Making diversity work on campus: A research-based perspective</w:t>
      </w:r>
      <w:r w:rsidRPr="00834944">
        <w:rPr>
          <w:rFonts w:ascii="Times New Roman" w:hAnsi="Times New Roman" w:cs="Times New Roman"/>
          <w:color w:val="141413"/>
        </w:rPr>
        <w:t xml:space="preserve">. Washington, DC: Association of American Colleges and Universities. </w:t>
      </w:r>
      <w:hyperlink r:id="rId8" w:history="1">
        <w:r w:rsidRPr="00834944">
          <w:rPr>
            <w:rStyle w:val="Hyperlink"/>
            <w:rFonts w:ascii="Times New Roman" w:hAnsi="Times New Roman" w:cs="Times New Roman"/>
          </w:rPr>
          <w:t>www.aacu.org/inclusive_excellence/pdfs/Milem_Final.pdf</w:t>
        </w:r>
      </w:hyperlink>
      <w:r w:rsidRPr="00834944">
        <w:rPr>
          <w:rFonts w:ascii="Times New Roman" w:hAnsi="Times New Roman" w:cs="Times New Roman"/>
          <w:color w:val="141413"/>
        </w:rPr>
        <w:t>.</w:t>
      </w:r>
    </w:p>
    <w:p w:rsidR="0015202C" w:rsidRPr="00834944" w:rsidRDefault="0015202C" w:rsidP="001520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15202C" w:rsidRPr="00834944" w:rsidRDefault="0015202C" w:rsidP="001520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rPr>
      </w:pPr>
      <w:r w:rsidRPr="00834944">
        <w:rPr>
          <w:rFonts w:ascii="Times New Roman" w:hAnsi="Times New Roman" w:cs="Times New Roman"/>
          <w:color w:val="141413"/>
        </w:rPr>
        <w:t xml:space="preserve">Moreno, J.F., Smith, D.G., Clayton-Pedersen, A.R., Parker, S., and </w:t>
      </w:r>
      <w:proofErr w:type="spellStart"/>
      <w:r w:rsidRPr="00834944">
        <w:rPr>
          <w:rFonts w:ascii="Times New Roman" w:hAnsi="Times New Roman" w:cs="Times New Roman"/>
          <w:color w:val="141413"/>
        </w:rPr>
        <w:t>Teraguchi</w:t>
      </w:r>
      <w:proofErr w:type="spellEnd"/>
      <w:r w:rsidRPr="00834944">
        <w:rPr>
          <w:rFonts w:ascii="Times New Roman" w:hAnsi="Times New Roman" w:cs="Times New Roman"/>
          <w:color w:val="141413"/>
        </w:rPr>
        <w:t xml:space="preserve">, D.H. (2006) </w:t>
      </w:r>
      <w:r w:rsidRPr="00834944">
        <w:rPr>
          <w:rFonts w:ascii="Times New Roman" w:hAnsi="Times New Roman" w:cs="Times New Roman"/>
          <w:i/>
          <w:color w:val="141413"/>
        </w:rPr>
        <w:t>The Revolving Door for Underrepresented Minority Faculty in Higher Education: An Analysis from the Campus Diversity Initiative</w:t>
      </w:r>
      <w:r w:rsidRPr="00834944">
        <w:rPr>
          <w:rFonts w:ascii="Times New Roman" w:hAnsi="Times New Roman" w:cs="Times New Roman"/>
          <w:color w:val="141413"/>
        </w:rPr>
        <w:t xml:space="preserve">. </w:t>
      </w:r>
      <w:proofErr w:type="gramStart"/>
      <w:r w:rsidRPr="00834944">
        <w:rPr>
          <w:rFonts w:ascii="Times New Roman" w:hAnsi="Times New Roman" w:cs="Times New Roman"/>
          <w:color w:val="141413"/>
        </w:rPr>
        <w:t>A research brief from The James Irvine Foundation Campus Diversity Initiative Evaluation Project.</w:t>
      </w:r>
      <w:proofErr w:type="gramEnd"/>
    </w:p>
    <w:p w:rsidR="0015202C" w:rsidRPr="00834944" w:rsidRDefault="0015202C" w:rsidP="001520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rPr>
      </w:pPr>
    </w:p>
    <w:p w:rsidR="0015202C" w:rsidRPr="00834944" w:rsidRDefault="0015202C" w:rsidP="001520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rPr>
      </w:pPr>
      <w:r w:rsidRPr="00834944">
        <w:rPr>
          <w:rFonts w:ascii="Times New Roman" w:eastAsia="Times New Roman" w:hAnsi="Times New Roman" w:cs="Times New Roman"/>
        </w:rPr>
        <w:t xml:space="preserve">Rhoades, G. </w:t>
      </w:r>
      <w:proofErr w:type="spellStart"/>
      <w:r w:rsidRPr="00834944">
        <w:rPr>
          <w:rFonts w:ascii="Times New Roman" w:eastAsia="Times New Roman" w:hAnsi="Times New Roman" w:cs="Times New Roman"/>
        </w:rPr>
        <w:t>Kiyama</w:t>
      </w:r>
      <w:proofErr w:type="spellEnd"/>
      <w:r w:rsidRPr="00834944">
        <w:rPr>
          <w:rFonts w:ascii="Times New Roman" w:eastAsia="Times New Roman" w:hAnsi="Times New Roman" w:cs="Times New Roman"/>
        </w:rPr>
        <w:t xml:space="preserve">, J.M., McCormick, R., and Quiroz, M. (2008) Local cosmopolitans and cosmopolitan locals: New models of professionals in the academy. </w:t>
      </w:r>
      <w:proofErr w:type="gramStart"/>
      <w:r w:rsidRPr="00834944">
        <w:rPr>
          <w:rFonts w:ascii="Times New Roman" w:eastAsia="Times New Roman" w:hAnsi="Times New Roman" w:cs="Times New Roman"/>
          <w:i/>
        </w:rPr>
        <w:t>The Review of Higher Education,</w:t>
      </w:r>
      <w:r w:rsidRPr="00834944">
        <w:rPr>
          <w:rFonts w:ascii="Times New Roman" w:eastAsia="Times New Roman" w:hAnsi="Times New Roman" w:cs="Times New Roman"/>
        </w:rPr>
        <w:t xml:space="preserve"> 31, 2, 209-35.</w:t>
      </w:r>
      <w:proofErr w:type="gramEnd"/>
    </w:p>
    <w:p w:rsidR="0015202C" w:rsidRPr="00834944" w:rsidRDefault="0015202C" w:rsidP="001520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rPr>
      </w:pPr>
    </w:p>
    <w:p w:rsidR="0015202C" w:rsidRPr="00834944" w:rsidRDefault="0015202C" w:rsidP="001520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834944">
        <w:rPr>
          <w:rFonts w:ascii="Times New Roman" w:hAnsi="Times New Roman" w:cs="Times New Roman"/>
        </w:rPr>
        <w:t xml:space="preserve">Saltmarsh, J., Giles, D.E. Jr., O’Meara, K., </w:t>
      </w:r>
      <w:proofErr w:type="spellStart"/>
      <w:r w:rsidRPr="00834944">
        <w:rPr>
          <w:rFonts w:ascii="Times New Roman" w:hAnsi="Times New Roman" w:cs="Times New Roman"/>
        </w:rPr>
        <w:t>Sandmann</w:t>
      </w:r>
      <w:proofErr w:type="spellEnd"/>
      <w:r w:rsidRPr="00834944">
        <w:rPr>
          <w:rFonts w:ascii="Times New Roman" w:hAnsi="Times New Roman" w:cs="Times New Roman"/>
        </w:rPr>
        <w:t>, L., Ward</w:t>
      </w:r>
      <w:proofErr w:type="gramStart"/>
      <w:r w:rsidRPr="00834944">
        <w:rPr>
          <w:rFonts w:ascii="Times New Roman" w:hAnsi="Times New Roman" w:cs="Times New Roman"/>
        </w:rPr>
        <w:t>, ,</w:t>
      </w:r>
      <w:proofErr w:type="gramEnd"/>
      <w:r w:rsidRPr="00834944">
        <w:rPr>
          <w:rFonts w:ascii="Times New Roman" w:hAnsi="Times New Roman" w:cs="Times New Roman"/>
        </w:rPr>
        <w:t xml:space="preserve"> E. and </w:t>
      </w:r>
      <w:proofErr w:type="spellStart"/>
      <w:r w:rsidRPr="00834944">
        <w:rPr>
          <w:rFonts w:ascii="Times New Roman" w:hAnsi="Times New Roman" w:cs="Times New Roman"/>
        </w:rPr>
        <w:t>Buglione</w:t>
      </w:r>
      <w:proofErr w:type="spellEnd"/>
      <w:r w:rsidRPr="00834944">
        <w:rPr>
          <w:rFonts w:ascii="Times New Roman" w:hAnsi="Times New Roman" w:cs="Times New Roman"/>
        </w:rPr>
        <w:t xml:space="preserve">, S.M. (2009) “Community Engagement and Institutional Culture in Higher Education: An Investigation of faculty reward Policies at Engaged Campuses,” in </w:t>
      </w:r>
      <w:proofErr w:type="spellStart"/>
      <w:r w:rsidRPr="00834944">
        <w:rPr>
          <w:rFonts w:ascii="Times New Roman" w:hAnsi="Times New Roman" w:cs="Times New Roman"/>
        </w:rPr>
        <w:t>Billig</w:t>
      </w:r>
      <w:proofErr w:type="spellEnd"/>
      <w:r w:rsidRPr="00834944">
        <w:rPr>
          <w:rFonts w:ascii="Times New Roman" w:hAnsi="Times New Roman" w:cs="Times New Roman"/>
        </w:rPr>
        <w:t xml:space="preserve">, S.H, </w:t>
      </w:r>
      <w:proofErr w:type="spellStart"/>
      <w:r w:rsidRPr="00834944">
        <w:rPr>
          <w:rFonts w:ascii="Times New Roman" w:hAnsi="Times New Roman" w:cs="Times New Roman"/>
        </w:rPr>
        <w:t>Moely</w:t>
      </w:r>
      <w:proofErr w:type="spellEnd"/>
      <w:r w:rsidRPr="00834944">
        <w:rPr>
          <w:rFonts w:ascii="Times New Roman" w:hAnsi="Times New Roman" w:cs="Times New Roman"/>
        </w:rPr>
        <w:t xml:space="preserve">, B.E, and Holland, B.A., eds., </w:t>
      </w:r>
      <w:r w:rsidRPr="00834944">
        <w:rPr>
          <w:rFonts w:ascii="Times New Roman" w:hAnsi="Times New Roman" w:cs="Times New Roman"/>
          <w:i/>
        </w:rPr>
        <w:t>Creating Our Identities in Service-Learning and Community Engagement,</w:t>
      </w:r>
      <w:r w:rsidRPr="00834944">
        <w:rPr>
          <w:rFonts w:ascii="Times New Roman" w:hAnsi="Times New Roman" w:cs="Times New Roman"/>
        </w:rPr>
        <w:t xml:space="preserve"> Vol. 10 in Advances in Service-Learning Research. Charlotte, NC</w:t>
      </w:r>
      <w:proofErr w:type="gramStart"/>
      <w:r w:rsidRPr="00834944">
        <w:rPr>
          <w:rFonts w:ascii="Times New Roman" w:hAnsi="Times New Roman" w:cs="Times New Roman"/>
        </w:rPr>
        <w:t>;  Information</w:t>
      </w:r>
      <w:proofErr w:type="gramEnd"/>
      <w:r w:rsidRPr="00834944">
        <w:rPr>
          <w:rFonts w:ascii="Times New Roman" w:hAnsi="Times New Roman" w:cs="Times New Roman"/>
        </w:rPr>
        <w:t xml:space="preserve"> Age Publishing.</w:t>
      </w:r>
    </w:p>
    <w:p w:rsidR="0015202C" w:rsidRPr="00834944" w:rsidRDefault="0015202C" w:rsidP="001520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EF1443" w:rsidRDefault="00EF1443" w:rsidP="001520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rPr>
      </w:pPr>
      <w:r>
        <w:rPr>
          <w:rFonts w:ascii="Times New Roman" w:hAnsi="Times New Roman" w:cs="Times New Roman"/>
          <w:color w:val="141413"/>
        </w:rPr>
        <w:t xml:space="preserve">Saltmarsh, J., Hartley, M., and Clayton, P.H. (2008) </w:t>
      </w:r>
      <w:r w:rsidRPr="00EF1443">
        <w:rPr>
          <w:rFonts w:ascii="Times New Roman" w:hAnsi="Times New Roman" w:cs="Times New Roman"/>
          <w:i/>
          <w:color w:val="141413"/>
        </w:rPr>
        <w:t>Democratic Engagement White Paper</w:t>
      </w:r>
      <w:r>
        <w:rPr>
          <w:rFonts w:ascii="Times New Roman" w:hAnsi="Times New Roman" w:cs="Times New Roman"/>
          <w:color w:val="141413"/>
        </w:rPr>
        <w:t>, Boston, MA: New England Resource Center for Higher Education.</w:t>
      </w:r>
    </w:p>
    <w:p w:rsidR="00EF1443" w:rsidRDefault="00EF1443" w:rsidP="001520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rPr>
      </w:pPr>
    </w:p>
    <w:p w:rsidR="0015202C" w:rsidRPr="00834944" w:rsidRDefault="0015202C" w:rsidP="001520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rPr>
      </w:pPr>
      <w:proofErr w:type="spellStart"/>
      <w:r w:rsidRPr="00834944">
        <w:rPr>
          <w:rFonts w:ascii="Times New Roman" w:hAnsi="Times New Roman" w:cs="Times New Roman"/>
          <w:color w:val="141413"/>
        </w:rPr>
        <w:t>Swail</w:t>
      </w:r>
      <w:proofErr w:type="spellEnd"/>
      <w:r w:rsidRPr="00834944">
        <w:rPr>
          <w:rFonts w:ascii="Times New Roman" w:hAnsi="Times New Roman" w:cs="Times New Roman"/>
          <w:color w:val="141413"/>
        </w:rPr>
        <w:t xml:space="preserve">, W. S., </w:t>
      </w:r>
      <w:proofErr w:type="spellStart"/>
      <w:r w:rsidRPr="00834944">
        <w:rPr>
          <w:rFonts w:ascii="Times New Roman" w:hAnsi="Times New Roman" w:cs="Times New Roman"/>
          <w:color w:val="141413"/>
        </w:rPr>
        <w:t>Redd</w:t>
      </w:r>
      <w:proofErr w:type="spellEnd"/>
      <w:r w:rsidRPr="00834944">
        <w:rPr>
          <w:rFonts w:ascii="Times New Roman" w:hAnsi="Times New Roman" w:cs="Times New Roman"/>
          <w:color w:val="141413"/>
        </w:rPr>
        <w:t xml:space="preserve">, K.E., and </w:t>
      </w:r>
      <w:proofErr w:type="spellStart"/>
      <w:r w:rsidRPr="00834944">
        <w:rPr>
          <w:rFonts w:ascii="Times New Roman" w:hAnsi="Times New Roman" w:cs="Times New Roman"/>
          <w:color w:val="141413"/>
        </w:rPr>
        <w:t>Perna</w:t>
      </w:r>
      <w:proofErr w:type="spellEnd"/>
      <w:r w:rsidRPr="00834944">
        <w:rPr>
          <w:rFonts w:ascii="Times New Roman" w:hAnsi="Times New Roman" w:cs="Times New Roman"/>
          <w:color w:val="141413"/>
        </w:rPr>
        <w:t xml:space="preserve">, L.W. (2003) </w:t>
      </w:r>
      <w:r w:rsidRPr="00834944">
        <w:rPr>
          <w:rFonts w:ascii="Times New Roman" w:hAnsi="Times New Roman" w:cs="Times New Roman"/>
          <w:i/>
          <w:color w:val="141413"/>
        </w:rPr>
        <w:t>Retaining Minority Students in Higher Education: A Framework for Success.</w:t>
      </w:r>
      <w:r w:rsidRPr="00834944">
        <w:rPr>
          <w:rFonts w:ascii="Times New Roman" w:hAnsi="Times New Roman" w:cs="Times New Roman"/>
          <w:color w:val="141413"/>
        </w:rPr>
        <w:t xml:space="preserve"> ASHE-ERIC Higher Education Report: Volume 30, Number 2.</w:t>
      </w:r>
    </w:p>
    <w:p w:rsidR="0015202C" w:rsidRPr="00834944" w:rsidRDefault="0015202C" w:rsidP="001520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rPr>
      </w:pPr>
    </w:p>
    <w:p w:rsidR="0015202C" w:rsidRPr="00834944" w:rsidRDefault="0015202C" w:rsidP="0015202C">
      <w:pPr>
        <w:rPr>
          <w:rFonts w:ascii="Times New Roman" w:hAnsi="Times New Roman"/>
        </w:rPr>
      </w:pPr>
      <w:proofErr w:type="spellStart"/>
      <w:r w:rsidRPr="00834944">
        <w:rPr>
          <w:rFonts w:ascii="Times New Roman" w:hAnsi="Times New Roman"/>
          <w:color w:val="000000"/>
        </w:rPr>
        <w:t>Yosso</w:t>
      </w:r>
      <w:proofErr w:type="spellEnd"/>
      <w:r w:rsidRPr="00834944">
        <w:rPr>
          <w:rFonts w:ascii="Times New Roman" w:hAnsi="Times New Roman"/>
          <w:color w:val="000000"/>
        </w:rPr>
        <w:t xml:space="preserve">, T.J., Parker, L., Solórzano, D.G., Lynn, M. (2004) “From Jim Crow to Affirmative Action and Back Again: A Critical Race Discussion of </w:t>
      </w:r>
      <w:proofErr w:type="spellStart"/>
      <w:r w:rsidRPr="00834944">
        <w:rPr>
          <w:rFonts w:ascii="Times New Roman" w:hAnsi="Times New Roman"/>
          <w:color w:val="000000"/>
        </w:rPr>
        <w:t>Racialized</w:t>
      </w:r>
      <w:proofErr w:type="spellEnd"/>
      <w:r w:rsidRPr="00834944">
        <w:rPr>
          <w:rFonts w:ascii="Times New Roman" w:hAnsi="Times New Roman"/>
          <w:color w:val="000000"/>
        </w:rPr>
        <w:t xml:space="preserve"> Rationales and Access to Higher Education.” </w:t>
      </w:r>
      <w:r w:rsidRPr="00834944">
        <w:rPr>
          <w:rFonts w:ascii="Times New Roman" w:hAnsi="Times New Roman"/>
          <w:i/>
          <w:color w:val="000000"/>
        </w:rPr>
        <w:t>Review of Research in Education</w:t>
      </w:r>
      <w:r w:rsidRPr="00834944">
        <w:rPr>
          <w:rFonts w:ascii="Times New Roman" w:hAnsi="Times New Roman"/>
          <w:color w:val="000000"/>
        </w:rPr>
        <w:t>, Vol. 28 (2004), pp. 1-25</w:t>
      </w:r>
    </w:p>
    <w:p w:rsidR="0015202C" w:rsidRPr="00834944" w:rsidRDefault="0015202C" w:rsidP="001520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15202C" w:rsidRPr="00834944" w:rsidRDefault="0015202C" w:rsidP="001520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roofErr w:type="spellStart"/>
      <w:r w:rsidRPr="00834944">
        <w:rPr>
          <w:rFonts w:ascii="Times New Roman" w:hAnsi="Times New Roman" w:cs="Times New Roman"/>
          <w:color w:val="000000"/>
        </w:rPr>
        <w:t>Vogelgesang</w:t>
      </w:r>
      <w:proofErr w:type="spellEnd"/>
      <w:r w:rsidRPr="00834944">
        <w:rPr>
          <w:rFonts w:ascii="Times New Roman" w:hAnsi="Times New Roman" w:cs="Times New Roman"/>
          <w:color w:val="000000"/>
        </w:rPr>
        <w:t xml:space="preserve">, L.J., </w:t>
      </w:r>
      <w:r w:rsidRPr="00834944">
        <w:rPr>
          <w:rFonts w:ascii="Times New Roman" w:hAnsi="Times New Roman" w:cs="Times New Roman"/>
        </w:rPr>
        <w:t>Denson</w:t>
      </w:r>
      <w:r w:rsidRPr="00834944">
        <w:rPr>
          <w:rFonts w:ascii="Times New Roman" w:hAnsi="Times New Roman" w:cs="Times New Roman"/>
          <w:color w:val="000000"/>
        </w:rPr>
        <w:t xml:space="preserve">, N., </w:t>
      </w:r>
      <w:proofErr w:type="spellStart"/>
      <w:r w:rsidRPr="00834944">
        <w:rPr>
          <w:rFonts w:ascii="Times New Roman" w:hAnsi="Times New Roman" w:cs="Times New Roman"/>
          <w:color w:val="000000"/>
        </w:rPr>
        <w:t>Jayakumar</w:t>
      </w:r>
      <w:proofErr w:type="spellEnd"/>
      <w:r w:rsidRPr="00834944">
        <w:rPr>
          <w:rFonts w:ascii="Times New Roman" w:hAnsi="Times New Roman" w:cs="Times New Roman"/>
          <w:color w:val="000000"/>
        </w:rPr>
        <w:t>, U.M. (</w:t>
      </w:r>
      <w:proofErr w:type="gramStart"/>
      <w:r w:rsidRPr="00834944">
        <w:rPr>
          <w:rFonts w:ascii="Times New Roman" w:hAnsi="Times New Roman" w:cs="Times New Roman"/>
          <w:color w:val="000000"/>
        </w:rPr>
        <w:t>2010)</w:t>
      </w:r>
      <w:r w:rsidRPr="00834944">
        <w:rPr>
          <w:rFonts w:ascii="Times New Roman" w:hAnsi="Times New Roman" w:cs="Times New Roman"/>
          <w:bCs/>
          <w:color w:val="000000"/>
        </w:rPr>
        <w:t>What</w:t>
      </w:r>
      <w:proofErr w:type="gramEnd"/>
      <w:r w:rsidRPr="00834944">
        <w:rPr>
          <w:rFonts w:ascii="Times New Roman" w:hAnsi="Times New Roman" w:cs="Times New Roman"/>
          <w:bCs/>
          <w:color w:val="000000"/>
        </w:rPr>
        <w:t xml:space="preserve"> Determines Faculty-Engaged Scholarship?</w:t>
      </w:r>
      <w:r w:rsidRPr="00834944">
        <w:rPr>
          <w:rFonts w:ascii="Times New Roman" w:hAnsi="Times New Roman" w:cs="Times New Roman"/>
          <w:color w:val="000000"/>
        </w:rPr>
        <w:t xml:space="preserve"> </w:t>
      </w:r>
      <w:r w:rsidRPr="00834944">
        <w:rPr>
          <w:rFonts w:ascii="Times New Roman" w:hAnsi="Times New Roman" w:cs="Times New Roman"/>
          <w:i/>
          <w:color w:val="000000"/>
        </w:rPr>
        <w:t>The Review of Higher Education</w:t>
      </w:r>
      <w:r w:rsidRPr="00834944">
        <w:rPr>
          <w:rFonts w:ascii="Times New Roman" w:hAnsi="Times New Roman" w:cs="Times New Roman"/>
          <w:color w:val="000000"/>
        </w:rPr>
        <w:t>, Volume 33, Number 4, Summer 2010, pp. 437-472.</w:t>
      </w:r>
    </w:p>
    <w:p w:rsidR="0015202C" w:rsidRPr="00834944" w:rsidRDefault="0015202C" w:rsidP="0015202C">
      <w:pPr>
        <w:rPr>
          <w:rFonts w:ascii="Times New Roman" w:hAnsi="Times New Roman" w:cs="Times New Roman"/>
        </w:rPr>
      </w:pPr>
    </w:p>
    <w:p w:rsidR="0015202C" w:rsidRDefault="0015202C" w:rsidP="0015202C"/>
    <w:sectPr w:rsidR="0015202C" w:rsidSect="00A6292B">
      <w:pgSz w:w="12240" w:h="15840"/>
      <w:pgMar w:top="1440" w:right="1800" w:bottom="1440" w:left="180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154F" w:rsidRDefault="005B154F" w:rsidP="00D504F9">
      <w:r>
        <w:separator/>
      </w:r>
    </w:p>
  </w:endnote>
  <w:endnote w:type="continuationSeparator" w:id="0">
    <w:p w:rsidR="005B154F" w:rsidRDefault="005B154F" w:rsidP="00D504F9">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Lucida Grande">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154F" w:rsidRDefault="005B154F" w:rsidP="00D504F9">
      <w:r>
        <w:separator/>
      </w:r>
    </w:p>
  </w:footnote>
  <w:footnote w:type="continuationSeparator" w:id="0">
    <w:p w:rsidR="005B154F" w:rsidRDefault="005B154F" w:rsidP="00D504F9">
      <w:r>
        <w:continuationSeparator/>
      </w:r>
    </w:p>
  </w:footnote>
  <w:footnote w:id="1">
    <w:p w:rsidR="005B154F" w:rsidRDefault="005B154F">
      <w:pPr>
        <w:pStyle w:val="FootnoteText"/>
      </w:pPr>
      <w:r>
        <w:rPr>
          <w:rStyle w:val="FootnoteReference"/>
        </w:rPr>
        <w:footnoteRef/>
      </w:r>
      <w:r>
        <w:t xml:space="preserve"> By diversity we refer to gender, ethnicity, race, sexuality, as well as socioeconomic status, and first generation </w:t>
      </w:r>
      <w:proofErr w:type="gramStart"/>
      <w:r>
        <w:t>college-going</w:t>
      </w:r>
      <w:proofErr w:type="gramEnd"/>
      <w:r>
        <w:t>.</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566E0"/>
    <w:multiLevelType w:val="hybridMultilevel"/>
    <w:tmpl w:val="F2762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0D318B"/>
    <w:multiLevelType w:val="hybridMultilevel"/>
    <w:tmpl w:val="D108A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FE0281"/>
    <w:multiLevelType w:val="hybridMultilevel"/>
    <w:tmpl w:val="6C72D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794653"/>
    <w:multiLevelType w:val="hybridMultilevel"/>
    <w:tmpl w:val="56BCF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savePreviewPicture/>
  <w:footnotePr>
    <w:footnote w:id="-1"/>
    <w:footnote w:id="0"/>
  </w:footnotePr>
  <w:endnotePr>
    <w:endnote w:id="-1"/>
    <w:endnote w:id="0"/>
  </w:endnotePr>
  <w:compat>
    <w:useFELayout/>
  </w:compat>
  <w:rsids>
    <w:rsidRoot w:val="0015202C"/>
    <w:rsid w:val="00046A28"/>
    <w:rsid w:val="00072FEF"/>
    <w:rsid w:val="0015202C"/>
    <w:rsid w:val="00212E47"/>
    <w:rsid w:val="002A3614"/>
    <w:rsid w:val="00312EEA"/>
    <w:rsid w:val="003D79D2"/>
    <w:rsid w:val="00414708"/>
    <w:rsid w:val="0042262A"/>
    <w:rsid w:val="00424966"/>
    <w:rsid w:val="004C53BB"/>
    <w:rsid w:val="00556A99"/>
    <w:rsid w:val="005B154F"/>
    <w:rsid w:val="00637B4C"/>
    <w:rsid w:val="00807DF5"/>
    <w:rsid w:val="008225E4"/>
    <w:rsid w:val="00827EA7"/>
    <w:rsid w:val="008E11EC"/>
    <w:rsid w:val="00951BC4"/>
    <w:rsid w:val="00996FD7"/>
    <w:rsid w:val="00A06211"/>
    <w:rsid w:val="00A6292B"/>
    <w:rsid w:val="00AF2EB3"/>
    <w:rsid w:val="00B34CA3"/>
    <w:rsid w:val="00BE73CF"/>
    <w:rsid w:val="00CA507F"/>
    <w:rsid w:val="00D504F9"/>
    <w:rsid w:val="00DC3D7A"/>
    <w:rsid w:val="00EF1443"/>
    <w:rsid w:val="00EF690A"/>
    <w:rsid w:val="00FB6BCB"/>
    <w:rsid w:val="00FD5A51"/>
    <w:rsid w:val="00FF0625"/>
  </w:rsids>
  <m:mathPr>
    <m:mathFont m:val="@ＭＳ ゴシック"/>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D7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A86450"/>
    <w:rPr>
      <w:rFonts w:ascii="Lucida Grande" w:hAnsi="Lucida Grande"/>
      <w:sz w:val="18"/>
      <w:szCs w:val="18"/>
    </w:rPr>
  </w:style>
  <w:style w:type="character" w:customStyle="1" w:styleId="BalloonTextChar">
    <w:name w:val="Balloon Text Char"/>
    <w:basedOn w:val="DefaultParagraphFont"/>
    <w:link w:val="BalloonText"/>
    <w:uiPriority w:val="99"/>
    <w:semiHidden/>
    <w:rsid w:val="00A86450"/>
    <w:rPr>
      <w:rFonts w:ascii="Lucida Grande" w:hAnsi="Lucida Grande"/>
      <w:sz w:val="18"/>
      <w:szCs w:val="18"/>
    </w:rPr>
  </w:style>
  <w:style w:type="character" w:styleId="Emphasis">
    <w:name w:val="Emphasis"/>
    <w:basedOn w:val="DefaultParagraphFont"/>
    <w:uiPriority w:val="20"/>
    <w:qFormat/>
    <w:rsid w:val="0015202C"/>
    <w:rPr>
      <w:i/>
    </w:rPr>
  </w:style>
  <w:style w:type="paragraph" w:styleId="ListParagraph">
    <w:name w:val="List Paragraph"/>
    <w:basedOn w:val="Normal"/>
    <w:uiPriority w:val="34"/>
    <w:qFormat/>
    <w:rsid w:val="0015202C"/>
    <w:pPr>
      <w:spacing w:after="200" w:line="276" w:lineRule="auto"/>
      <w:ind w:left="720"/>
      <w:contextualSpacing/>
    </w:pPr>
    <w:rPr>
      <w:sz w:val="22"/>
      <w:szCs w:val="22"/>
      <w:lang w:eastAsia="ja-JP"/>
    </w:rPr>
  </w:style>
  <w:style w:type="character" w:styleId="Hyperlink">
    <w:name w:val="Hyperlink"/>
    <w:basedOn w:val="DefaultParagraphFont"/>
    <w:uiPriority w:val="99"/>
    <w:unhideWhenUsed/>
    <w:rsid w:val="0015202C"/>
    <w:rPr>
      <w:color w:val="0000FF" w:themeColor="hyperlink"/>
      <w:u w:val="single"/>
    </w:rPr>
  </w:style>
  <w:style w:type="table" w:styleId="TableGrid">
    <w:name w:val="Table Grid"/>
    <w:basedOn w:val="TableNormal"/>
    <w:uiPriority w:val="59"/>
    <w:rsid w:val="0015202C"/>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15202C"/>
    <w:rPr>
      <w:b/>
      <w:bCs/>
    </w:rPr>
  </w:style>
  <w:style w:type="paragraph" w:styleId="FootnoteText">
    <w:name w:val="footnote text"/>
    <w:basedOn w:val="Normal"/>
    <w:link w:val="FootnoteTextChar"/>
    <w:uiPriority w:val="99"/>
    <w:unhideWhenUsed/>
    <w:rsid w:val="00D504F9"/>
  </w:style>
  <w:style w:type="character" w:customStyle="1" w:styleId="FootnoteTextChar">
    <w:name w:val="Footnote Text Char"/>
    <w:basedOn w:val="DefaultParagraphFont"/>
    <w:link w:val="FootnoteText"/>
    <w:uiPriority w:val="99"/>
    <w:rsid w:val="00D504F9"/>
  </w:style>
  <w:style w:type="character" w:styleId="FootnoteReference">
    <w:name w:val="footnote reference"/>
    <w:basedOn w:val="DefaultParagraphFont"/>
    <w:uiPriority w:val="99"/>
    <w:unhideWhenUsed/>
    <w:rsid w:val="00D504F9"/>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5202C"/>
    <w:rPr>
      <w:i/>
    </w:rPr>
  </w:style>
  <w:style w:type="paragraph" w:styleId="ListParagraph">
    <w:name w:val="List Paragraph"/>
    <w:basedOn w:val="Normal"/>
    <w:uiPriority w:val="34"/>
    <w:qFormat/>
    <w:rsid w:val="0015202C"/>
    <w:pPr>
      <w:spacing w:after="200" w:line="276" w:lineRule="auto"/>
      <w:ind w:left="720"/>
      <w:contextualSpacing/>
    </w:pPr>
    <w:rPr>
      <w:sz w:val="22"/>
      <w:szCs w:val="22"/>
      <w:lang w:eastAsia="ja-JP"/>
    </w:rPr>
  </w:style>
  <w:style w:type="character" w:styleId="Hyperlink">
    <w:name w:val="Hyperlink"/>
    <w:basedOn w:val="DefaultParagraphFont"/>
    <w:uiPriority w:val="99"/>
    <w:unhideWhenUsed/>
    <w:rsid w:val="0015202C"/>
    <w:rPr>
      <w:color w:val="0000FF" w:themeColor="hyperlink"/>
      <w:u w:val="single"/>
    </w:rPr>
  </w:style>
  <w:style w:type="table" w:styleId="TableGrid">
    <w:name w:val="Table Grid"/>
    <w:basedOn w:val="TableNormal"/>
    <w:uiPriority w:val="59"/>
    <w:rsid w:val="0015202C"/>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15202C"/>
    <w:rPr>
      <w:b/>
      <w:bCs/>
    </w:rPr>
  </w:style>
  <w:style w:type="paragraph" w:styleId="FootnoteText">
    <w:name w:val="footnote text"/>
    <w:basedOn w:val="Normal"/>
    <w:link w:val="FootnoteTextChar"/>
    <w:uiPriority w:val="99"/>
    <w:unhideWhenUsed/>
    <w:rsid w:val="00D504F9"/>
  </w:style>
  <w:style w:type="character" w:customStyle="1" w:styleId="FootnoteTextChar">
    <w:name w:val="Footnote Text Char"/>
    <w:basedOn w:val="DefaultParagraphFont"/>
    <w:link w:val="FootnoteText"/>
    <w:uiPriority w:val="99"/>
    <w:rsid w:val="00D504F9"/>
  </w:style>
  <w:style w:type="character" w:styleId="FootnoteReference">
    <w:name w:val="footnote reference"/>
    <w:basedOn w:val="DefaultParagraphFont"/>
    <w:uiPriority w:val="99"/>
    <w:unhideWhenUsed/>
    <w:rsid w:val="00D504F9"/>
    <w:rPr>
      <w:vertAlign w:val="superscript"/>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ihep.org/assets/files/publications/m-r/%28Brief%29_A_Portrait_of_Low-Income_Young_Adults_in_Education.pdf" TargetMode="External"/><Relationship Id="rId8" Type="http://schemas.openxmlformats.org/officeDocument/2006/relationships/hyperlink" Target="http://www.aacu.org/inclusive_excellence/pdfs/Milem_Final.pdf" TargetMode="Externa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8</Pages>
  <Words>2872</Words>
  <Characters>16372</Characters>
  <Application>Microsoft Macintosh Word</Application>
  <DocSecurity>0</DocSecurity>
  <Lines>136</Lines>
  <Paragraphs>32</Paragraphs>
  <ScaleCrop>false</ScaleCrop>
  <Company/>
  <LinksUpToDate>false</LinksUpToDate>
  <CharactersWithSpaces>20105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Saltmarsh</dc:creator>
  <cp:keywords/>
  <dc:description/>
  <cp:lastModifiedBy>Susan</cp:lastModifiedBy>
  <cp:revision>3</cp:revision>
  <dcterms:created xsi:type="dcterms:W3CDTF">2011-01-28T02:22:00Z</dcterms:created>
  <dcterms:modified xsi:type="dcterms:W3CDTF">2011-02-02T21:48:00Z</dcterms:modified>
</cp:coreProperties>
</file>