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49" w:rsidRPr="00712849" w:rsidRDefault="0037508E" w:rsidP="00785D93">
      <w:pPr>
        <w:shd w:val="clear" w:color="auto" w:fill="FFFFFF"/>
        <w:spacing w:after="0" w:line="288" w:lineRule="atLeast"/>
        <w:jc w:val="both"/>
        <w:outlineLvl w:val="2"/>
        <w:rPr>
          <w:rFonts w:asciiTheme="majorHAnsi" w:eastAsia="Times New Roman" w:hAnsiTheme="majorHAnsi" w:cs="Arial"/>
          <w:b/>
          <w:bCs/>
          <w:sz w:val="36"/>
          <w:szCs w:val="36"/>
          <w:u w:val="single"/>
          <w:lang w:eastAsia="es-ES"/>
        </w:rPr>
      </w:pPr>
      <w:r w:rsidRPr="00785D93">
        <w:rPr>
          <w:rFonts w:asciiTheme="majorHAnsi" w:eastAsia="Times New Roman" w:hAnsiTheme="majorHAnsi" w:cs="Arial"/>
          <w:b/>
          <w:bCs/>
          <w:sz w:val="36"/>
          <w:szCs w:val="36"/>
          <w:u w:val="single"/>
          <w:lang w:eastAsia="es-ES"/>
        </w:rPr>
        <w:t xml:space="preserve">Información sobre </w:t>
      </w:r>
      <w:r w:rsidR="00712849" w:rsidRPr="00712849">
        <w:rPr>
          <w:rFonts w:asciiTheme="majorHAnsi" w:eastAsia="Times New Roman" w:hAnsiTheme="majorHAnsi" w:cs="Arial"/>
          <w:b/>
          <w:bCs/>
          <w:sz w:val="36"/>
          <w:szCs w:val="36"/>
          <w:u w:val="single"/>
          <w:lang w:eastAsia="es-ES"/>
        </w:rPr>
        <w:t xml:space="preserve">Entidades </w:t>
      </w:r>
      <w:r w:rsidRPr="00785D93">
        <w:rPr>
          <w:rFonts w:asciiTheme="majorHAnsi" w:eastAsia="Times New Roman" w:hAnsiTheme="majorHAnsi" w:cs="Arial"/>
          <w:b/>
          <w:bCs/>
          <w:sz w:val="36"/>
          <w:szCs w:val="36"/>
          <w:u w:val="single"/>
          <w:lang w:eastAsia="es-ES"/>
        </w:rPr>
        <w:t>C</w:t>
      </w:r>
      <w:r w:rsidR="00712849" w:rsidRPr="00712849">
        <w:rPr>
          <w:rFonts w:asciiTheme="majorHAnsi" w:eastAsia="Times New Roman" w:hAnsiTheme="majorHAnsi" w:cs="Arial"/>
          <w:b/>
          <w:bCs/>
          <w:sz w:val="36"/>
          <w:szCs w:val="36"/>
          <w:u w:val="single"/>
          <w:lang w:eastAsia="es-ES"/>
        </w:rPr>
        <w:t>ertifi</w:t>
      </w:r>
      <w:r w:rsidRPr="00785D93">
        <w:rPr>
          <w:rFonts w:asciiTheme="majorHAnsi" w:eastAsia="Times New Roman" w:hAnsiTheme="majorHAnsi" w:cs="Arial"/>
          <w:b/>
          <w:bCs/>
          <w:sz w:val="36"/>
          <w:szCs w:val="36"/>
          <w:u w:val="single"/>
          <w:lang w:eastAsia="es-ES"/>
        </w:rPr>
        <w:t xml:space="preserve">cadoras </w:t>
      </w:r>
    </w:p>
    <w:p w:rsidR="00712849" w:rsidRPr="00785D93" w:rsidRDefault="00712849" w:rsidP="00785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712849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Las certificaciones de calidad son emitidas por entidades certificadoras. La </w:t>
      </w:r>
      <w:hyperlink r:id="rId5" w:history="1">
        <w:r w:rsidRPr="00712849">
          <w:rPr>
            <w:rFonts w:asciiTheme="majorHAnsi" w:eastAsia="Times New Roman" w:hAnsiTheme="majorHAnsi" w:cs="Arial"/>
            <w:b/>
            <w:sz w:val="32"/>
            <w:szCs w:val="32"/>
            <w:u w:val="single"/>
            <w:lang w:eastAsia="es-ES"/>
          </w:rPr>
          <w:t>Entidad Nacional de Acreditación (ENAC)</w:t>
        </w:r>
      </w:hyperlink>
      <w:r w:rsidRPr="00712849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es la encargada en España de reconocer y determinar si una organización es o no competente para certificar a otras.</w:t>
      </w:r>
    </w:p>
    <w:p w:rsidR="00404251" w:rsidRPr="00785D93" w:rsidRDefault="00E63962" w:rsidP="00785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6" w:history="1">
        <w:r w:rsidR="00404251" w:rsidRPr="00785D93">
          <w:rPr>
            <w:rStyle w:val="Hipervnculo"/>
            <w:rFonts w:asciiTheme="majorHAnsi" w:eastAsia="Times New Roman" w:hAnsiTheme="majorHAnsi" w:cs="Arial"/>
            <w:sz w:val="32"/>
            <w:szCs w:val="32"/>
            <w:lang w:eastAsia="es-ES"/>
          </w:rPr>
          <w:t>http://www.enac.es/web/enac/localizacion</w:t>
        </w:r>
      </w:hyperlink>
    </w:p>
    <w:p w:rsidR="00EB5739" w:rsidRPr="00785D93" w:rsidRDefault="00EB5739" w:rsidP="00785D93">
      <w:pPr>
        <w:pStyle w:val="NormalWeb"/>
        <w:jc w:val="both"/>
        <w:rPr>
          <w:rFonts w:asciiTheme="majorHAnsi" w:hAnsiTheme="majorHAnsi" w:cs="Arial"/>
          <w:sz w:val="32"/>
          <w:szCs w:val="32"/>
        </w:rPr>
      </w:pPr>
      <w:r w:rsidRPr="00785D93">
        <w:rPr>
          <w:rFonts w:asciiTheme="majorHAnsi" w:hAnsiTheme="majorHAnsi" w:cs="Arial"/>
          <w:sz w:val="32"/>
          <w:szCs w:val="32"/>
        </w:rPr>
        <w:t>Es el organismo designado por la Administración para establecer y mantener el sistema de acreditación a nivel nacional, de acuerdo a normas internacionales, siguiendo en todo momento las políticas y recomendaciones establecidas por la Unión Europea.</w:t>
      </w:r>
    </w:p>
    <w:p w:rsidR="00EB5739" w:rsidRPr="00785D93" w:rsidRDefault="00EB5739" w:rsidP="00785D93">
      <w:pPr>
        <w:pStyle w:val="NormalWeb"/>
        <w:jc w:val="both"/>
        <w:rPr>
          <w:rFonts w:asciiTheme="majorHAnsi" w:hAnsiTheme="majorHAnsi" w:cs="Arial"/>
          <w:sz w:val="32"/>
          <w:szCs w:val="32"/>
        </w:rPr>
      </w:pPr>
      <w:r w:rsidRPr="00785D93">
        <w:rPr>
          <w:rStyle w:val="Textoennegrita"/>
          <w:rFonts w:asciiTheme="majorHAnsi" w:hAnsiTheme="majorHAnsi" w:cs="Arial"/>
          <w:sz w:val="32"/>
          <w:szCs w:val="32"/>
        </w:rPr>
        <w:t xml:space="preserve">ENAC </w:t>
      </w:r>
      <w:r w:rsidRPr="00785D93">
        <w:rPr>
          <w:rFonts w:asciiTheme="majorHAnsi" w:hAnsiTheme="majorHAnsi" w:cs="Arial"/>
          <w:sz w:val="32"/>
          <w:szCs w:val="32"/>
        </w:rPr>
        <w:t xml:space="preserve">es una organización declarada </w:t>
      </w:r>
      <w:r w:rsidRPr="00785D93">
        <w:rPr>
          <w:rStyle w:val="Textoennegrita"/>
          <w:rFonts w:asciiTheme="majorHAnsi" w:hAnsiTheme="majorHAnsi" w:cs="Arial"/>
          <w:sz w:val="32"/>
          <w:szCs w:val="32"/>
        </w:rPr>
        <w:t>de utilidad pública, independiente y sin ánimo de lucro, auspiciada y tutelada por la Administración</w:t>
      </w:r>
      <w:r w:rsidRPr="00785D93">
        <w:rPr>
          <w:rFonts w:asciiTheme="majorHAnsi" w:hAnsiTheme="majorHAnsi" w:cs="Arial"/>
          <w:sz w:val="32"/>
          <w:szCs w:val="32"/>
        </w:rPr>
        <w:t xml:space="preserve">, que desarrolla su misión con una clara vocación de servicio público, dirigido tanto a la Administración como al mercado en general, garantizando que todas sus actuaciones se basan en </w:t>
      </w:r>
      <w:r w:rsidRPr="00785D93">
        <w:rPr>
          <w:rStyle w:val="Textoennegrita"/>
          <w:rFonts w:asciiTheme="majorHAnsi" w:hAnsiTheme="majorHAnsi" w:cs="Arial"/>
          <w:sz w:val="32"/>
          <w:szCs w:val="32"/>
        </w:rPr>
        <w:t>principios</w:t>
      </w:r>
      <w:r w:rsidRPr="00785D93">
        <w:rPr>
          <w:rFonts w:asciiTheme="majorHAnsi" w:hAnsiTheme="majorHAnsi" w:cs="Arial"/>
          <w:sz w:val="32"/>
          <w:szCs w:val="32"/>
        </w:rPr>
        <w:t xml:space="preserve"> de imparcialidad, independencia y transparencia, con un marcado carácter técnico, aportando valor a todos los agentes que tienen intereses en los distintos aspectos de la acreditación</w:t>
      </w:r>
    </w:p>
    <w:p w:rsidR="00785D93" w:rsidRPr="00785D93" w:rsidRDefault="00785D93" w:rsidP="00785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ENAC</w:t>
      </w:r>
      <w:r w:rsidRPr="00785D93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tiene como misión generar confianza en el mercado y en la sociedad en general en relación con la competencia técnica de los evaluadores de la conformidad acreditados, contribuyendo así a la seguridad y el bienestar de las personas, la calidad de los productos y servicios y la protección del medioambiente, y con ello al aumento de la competitividad de los productos y servicios españoles y a una disminución de los costes para la sociedad debidos a estas actividades.</w:t>
      </w:r>
    </w:p>
    <w:p w:rsidR="00785D93" w:rsidRPr="00785D93" w:rsidRDefault="00785D93" w:rsidP="00785D9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785D93">
        <w:rPr>
          <w:rFonts w:asciiTheme="majorHAnsi" w:eastAsia="Times New Roman" w:hAnsiTheme="majorHAnsi" w:cs="Arial"/>
          <w:sz w:val="32"/>
          <w:szCs w:val="32"/>
          <w:lang w:eastAsia="es-ES"/>
        </w:rPr>
        <w:t>Para llevar a cabo su misión ENAC realiza las siguientes actividades:</w:t>
      </w:r>
    </w:p>
    <w:p w:rsidR="00785D93" w:rsidRPr="00785D93" w:rsidRDefault="00785D93" w:rsidP="00785D9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785D93">
        <w:rPr>
          <w:rFonts w:asciiTheme="majorHAnsi" w:eastAsia="Times New Roman" w:hAnsiTheme="majorHAnsi" w:cs="Arial"/>
          <w:sz w:val="32"/>
          <w:szCs w:val="32"/>
          <w:lang w:eastAsia="es-ES"/>
        </w:rPr>
        <w:lastRenderedPageBreak/>
        <w:t xml:space="preserve">Declarar la competencia técnica de los evaluadores de la conformidad a través de un sistema de evaluación independiente, imparcial y transparente basados en criterios internacionales. </w:t>
      </w:r>
    </w:p>
    <w:p w:rsidR="00785D93" w:rsidRPr="00785D93" w:rsidRDefault="00785D93" w:rsidP="00785D9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785D93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Promover la aceptación internacional de las actividades de los evaluadores de la conformidad acreditados mediante el establecimiento de acuerdos de reconocimiento, facilitando así los intercambios comerciales en un mercado global. </w:t>
      </w:r>
    </w:p>
    <w:p w:rsidR="00785D93" w:rsidRPr="00785D93" w:rsidRDefault="00785D93" w:rsidP="00785D9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785D93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Colaborar con la Administración y otras organizaciones usuarias de la acreditación garantizando que el servicio de acreditación del que van a hacer uso da respuesta a sus necesidades. </w:t>
      </w:r>
    </w:p>
    <w:p w:rsidR="00785D93" w:rsidRPr="00785D93" w:rsidRDefault="00785D93" w:rsidP="00785D9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785D93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Ofrecer a los evaluadores de la conformidad un servicio de alto valor añadido que constituye un rasgo diferenciador en el mercado, siendo garantía de integridad y competencia, aumentando así sus oportunidades comerciales y la confianza del público en sus actividades. </w:t>
      </w:r>
    </w:p>
    <w:p w:rsidR="00785D93" w:rsidRPr="00785D93" w:rsidRDefault="00785D93" w:rsidP="00785D9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785D93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Gestionar el sistema de acreditación con criterios de eficacia y adaptado a las necesidades de los clientes. </w:t>
      </w:r>
    </w:p>
    <w:p w:rsidR="00785D93" w:rsidRPr="00785D93" w:rsidRDefault="00785D93" w:rsidP="00785D9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785D93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Promover y difundir los procedimientos y criterios de acreditación facilitando el acceso de los evaluadores de la conformidad a la acreditación, y dar a conocer el concepto de acreditación y las actividades de ENAC y de sus acreditados a todas las partes interesadas. </w:t>
      </w:r>
    </w:p>
    <w:p w:rsidR="00785D93" w:rsidRPr="00785D93" w:rsidRDefault="00785D93" w:rsidP="00785D9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785D93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Colaborar con las instituciones y organizaciones nacionales e internacionales en los aspectos relacionados con sus objetivos y fines. </w:t>
      </w:r>
    </w:p>
    <w:p w:rsidR="00EB5739" w:rsidRPr="00785D93" w:rsidRDefault="00EB5739" w:rsidP="00785D93">
      <w:pPr>
        <w:pStyle w:val="NormalWeb"/>
        <w:jc w:val="both"/>
        <w:rPr>
          <w:rFonts w:asciiTheme="majorHAnsi" w:hAnsiTheme="majorHAnsi" w:cs="Arial"/>
          <w:sz w:val="32"/>
          <w:szCs w:val="32"/>
        </w:rPr>
      </w:pPr>
      <w:r w:rsidRPr="00785D93">
        <w:rPr>
          <w:rFonts w:asciiTheme="majorHAnsi" w:hAnsiTheme="majorHAnsi" w:cs="Arial"/>
          <w:sz w:val="32"/>
          <w:szCs w:val="32"/>
        </w:rPr>
        <w:t xml:space="preserve">De esta forma consigue que sus servicios estén </w:t>
      </w:r>
      <w:r w:rsidRPr="00785D93">
        <w:rPr>
          <w:rStyle w:val="Textoennegrita"/>
          <w:rFonts w:asciiTheme="majorHAnsi" w:hAnsiTheme="majorHAnsi" w:cs="Arial"/>
          <w:sz w:val="32"/>
          <w:szCs w:val="32"/>
        </w:rPr>
        <w:t>reconocidos y aceptados nacional e Internacionalmente</w:t>
      </w:r>
      <w:r w:rsidRPr="00785D93">
        <w:rPr>
          <w:rFonts w:asciiTheme="majorHAnsi" w:hAnsiTheme="majorHAnsi" w:cs="Arial"/>
          <w:sz w:val="32"/>
          <w:szCs w:val="32"/>
        </w:rPr>
        <w:t>, contribuyendo así a una mayor protección de las personas y del medioambiente y al aumento de la competitividad de los productos y servicios españoles.</w:t>
      </w:r>
    </w:p>
    <w:p w:rsidR="00AE5D8D" w:rsidRPr="00785D93" w:rsidRDefault="00AE5D8D" w:rsidP="00785D93">
      <w:pPr>
        <w:pStyle w:val="NormalWeb"/>
        <w:jc w:val="both"/>
        <w:rPr>
          <w:rFonts w:asciiTheme="majorHAnsi" w:hAnsiTheme="majorHAnsi" w:cs="Arial"/>
          <w:sz w:val="32"/>
          <w:szCs w:val="32"/>
        </w:rPr>
      </w:pPr>
      <w:r w:rsidRPr="00785D93">
        <w:rPr>
          <w:rStyle w:val="Textoennegrita"/>
          <w:rFonts w:asciiTheme="majorHAnsi" w:hAnsiTheme="majorHAnsi" w:cs="Arial"/>
          <w:sz w:val="32"/>
          <w:szCs w:val="32"/>
        </w:rPr>
        <w:lastRenderedPageBreak/>
        <w:t xml:space="preserve">ENAC </w:t>
      </w:r>
      <w:r w:rsidRPr="00785D93">
        <w:rPr>
          <w:rFonts w:asciiTheme="majorHAnsi" w:hAnsiTheme="majorHAnsi" w:cs="Arial"/>
          <w:sz w:val="32"/>
          <w:szCs w:val="32"/>
        </w:rPr>
        <w:t>evalúa el cumplimiento de los requisitos establecidos en las siguientes Normas Internacionales o documentos reglamentarios para el funcionamiento de los distintos evaluadores de la conformidad:</w:t>
      </w:r>
    </w:p>
    <w:p w:rsidR="00AE5D8D" w:rsidRPr="00AE5D8D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Laboratorios de Ensayo </w:t>
      </w: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UNE-EN ISO/IEC 17025</w:t>
      </w: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Laboratorios de Calibración </w:t>
      </w: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UNE-EN ISO/IEC 17025</w:t>
      </w: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Laboratorios Clínicos </w:t>
      </w: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UNE-EN ISO 15189</w:t>
      </w: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Entidades de Inspección </w:t>
      </w: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UNE-EN ISO/IEC 17020</w:t>
      </w: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Entidades de Certificación de Productos </w:t>
      </w: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UNE-EN 45011</w:t>
      </w: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Entidades de Certificación de Sistemas de Gestión </w:t>
      </w: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UNE-EN ISO/IEC 17021</w:t>
      </w: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Entidades de Certificación de Personas </w:t>
      </w: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UNE-EN ISO/IEC 17024</w:t>
      </w: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Verificadores Medioambientales Reglamento </w:t>
      </w: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 xml:space="preserve">CE 761/2001 </w:t>
      </w:r>
    </w:p>
    <w:p w:rsidR="00AE5D8D" w:rsidRPr="00AE5D8D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Proveedores de Programas de Intercomparación </w:t>
      </w: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ISO/IEC 17043</w:t>
      </w: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BPL en estudios de productos fitosanitarios y sustancias químicas industriales </w:t>
      </w: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RD 1369/2000</w:t>
      </w: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785D93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Verificadores de emisiones de gases de efecto invernadero </w:t>
      </w:r>
      <w:r w:rsidRPr="00785D93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EA-6/03 UNE-EN 45011</w:t>
      </w:r>
      <w:r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AE5D8D" w:rsidP="00785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</w:p>
    <w:p w:rsidR="00AE5D8D" w:rsidRPr="00AE5D8D" w:rsidRDefault="00AE5D8D" w:rsidP="00785D93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 xml:space="preserve">Organizaciones Internacionales de Cooperación para la Acreditación </w:t>
      </w:r>
    </w:p>
    <w:p w:rsidR="00AE5D8D" w:rsidRPr="00AE5D8D" w:rsidRDefault="00E63962" w:rsidP="00785D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7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European Cooperation for Accreditation, EA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8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International Accreditation Forum, IAF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9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International Laboratory Accreditation Cooperation, ILAC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AE5D8D" w:rsidP="00785D93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Organizaciones Regionales de Cooperación para la Acreditación</w:t>
      </w:r>
    </w:p>
    <w:p w:rsidR="00AE5D8D" w:rsidRPr="00AE5D8D" w:rsidRDefault="00E63962" w:rsidP="00785D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val="en-US" w:eastAsia="es-ES"/>
        </w:rPr>
      </w:pPr>
      <w:hyperlink r:id="rId10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val="en-US" w:eastAsia="es-ES"/>
          </w:rPr>
          <w:t>Asia Pacific Accreditation Co-operation, APLAC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val="en-US"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11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Interamerican Accreditation Cooperation, IAAC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12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Pacific Accreditation Cooperation, PAC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val="en-US" w:eastAsia="es-ES"/>
        </w:rPr>
      </w:pPr>
      <w:hyperlink r:id="rId13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val="en-US" w:eastAsia="es-ES"/>
          </w:rPr>
          <w:t xml:space="preserve">Southern African Development Co-operation in Accreditation, SADCA </w:t>
        </w:r>
      </w:hyperlink>
    </w:p>
    <w:p w:rsidR="00AE5D8D" w:rsidRPr="00AE5D8D" w:rsidRDefault="00AE5D8D" w:rsidP="00785D93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Asociaciones de Evaluadores de la Conformidad</w:t>
      </w:r>
    </w:p>
    <w:p w:rsidR="00AE5D8D" w:rsidRPr="00AE5D8D" w:rsidRDefault="00E63962" w:rsidP="00785D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14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Asociación Española para la Calidad, AEC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15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Asociación Española de Entidades de Ensayo, Calibración y Análisis, FELAB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16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Asociación de Organismos de control, ASORCO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17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Asociación Española de Grupos Empresariales de Inspección y Certificación, AEGIC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18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Asociación Española de Entidades Colaboradoras con la Administración en la Inspección Técnica de Vehículos, AECA - ITV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404251" w:rsidRPr="00785D93" w:rsidRDefault="00404251" w:rsidP="00785D93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</w:pPr>
    </w:p>
    <w:p w:rsidR="00AE5D8D" w:rsidRPr="00AE5D8D" w:rsidRDefault="00AE5D8D" w:rsidP="00785D93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</w:pPr>
      <w:r w:rsidRPr="00AE5D8D">
        <w:rPr>
          <w:rFonts w:asciiTheme="majorHAnsi" w:eastAsia="Times New Roman" w:hAnsiTheme="majorHAnsi" w:cs="Arial"/>
          <w:b/>
          <w:bCs/>
          <w:sz w:val="32"/>
          <w:szCs w:val="32"/>
          <w:lang w:eastAsia="es-ES"/>
        </w:rPr>
        <w:t>Otros enlaces de interés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19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Asociación Española de Normalización y Certificación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20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BIPM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21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Centro Español de Metrología, CEM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22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 xml:space="preserve">CEN Central Secretariat </w:t>
        </w:r>
      </w:hyperlink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23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CEOC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24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EURACHEM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25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EUROLAB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26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EUROMET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27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 xml:space="preserve">European Commission </w:t>
        </w:r>
      </w:hyperlink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28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European Organisation for Quality, EOQ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val="en-US" w:eastAsia="es-ES"/>
        </w:rPr>
      </w:pPr>
      <w:hyperlink r:id="rId29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val="en-US" w:eastAsia="es-ES"/>
          </w:rPr>
          <w:t>European Cooperation in Legal Metrology, WELMEC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val="en-US"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30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International Organization for Standardization, ISO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31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Ministerio de Industria, Turismo y Comercio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32"/>
          <w:szCs w:val="32"/>
          <w:lang w:eastAsia="es-ES"/>
        </w:rPr>
      </w:pPr>
      <w:hyperlink r:id="rId32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Nando - Sistema de Información de Organismos Notificados (UE)</w:t>
        </w:r>
      </w:hyperlink>
      <w:r w:rsidR="00AE5D8D" w:rsidRPr="00AE5D8D">
        <w:rPr>
          <w:rFonts w:asciiTheme="majorHAnsi" w:eastAsia="Times New Roman" w:hAnsiTheme="majorHAnsi" w:cs="Arial"/>
          <w:sz w:val="32"/>
          <w:szCs w:val="32"/>
          <w:lang w:eastAsia="es-ES"/>
        </w:rPr>
        <w:t xml:space="preserve"> </w:t>
      </w:r>
    </w:p>
    <w:p w:rsidR="00AE5D8D" w:rsidRPr="00AE5D8D" w:rsidRDefault="00E63962" w:rsidP="00785D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hyperlink r:id="rId33" w:tgtFrame="_blank" w:history="1">
        <w:r w:rsidR="00AE5D8D" w:rsidRPr="00785D93">
          <w:rPr>
            <w:rFonts w:asciiTheme="majorHAnsi" w:eastAsia="Times New Roman" w:hAnsiTheme="majorHAnsi" w:cs="Arial"/>
            <w:sz w:val="32"/>
            <w:szCs w:val="32"/>
            <w:u w:val="single"/>
            <w:lang w:eastAsia="es-ES"/>
          </w:rPr>
          <w:t>eptis - Base de datos de proveedores de programas de intercomparación</w:t>
        </w:r>
      </w:hyperlink>
      <w:r w:rsidR="00AE5D8D" w:rsidRPr="00AE5D8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sectPr w:rsidR="00AE5D8D" w:rsidRPr="00AE5D8D" w:rsidSect="00366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B23"/>
    <w:multiLevelType w:val="multilevel"/>
    <w:tmpl w:val="C86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E2936"/>
    <w:multiLevelType w:val="multilevel"/>
    <w:tmpl w:val="8C82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876F8"/>
    <w:multiLevelType w:val="multilevel"/>
    <w:tmpl w:val="2050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E266A"/>
    <w:multiLevelType w:val="multilevel"/>
    <w:tmpl w:val="B3B6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D20AA"/>
    <w:multiLevelType w:val="multilevel"/>
    <w:tmpl w:val="87D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F5A99"/>
    <w:multiLevelType w:val="multilevel"/>
    <w:tmpl w:val="F244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A3D32"/>
    <w:multiLevelType w:val="multilevel"/>
    <w:tmpl w:val="CA2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12849"/>
    <w:rsid w:val="003661FA"/>
    <w:rsid w:val="00370A0D"/>
    <w:rsid w:val="0037508E"/>
    <w:rsid w:val="00404251"/>
    <w:rsid w:val="00712849"/>
    <w:rsid w:val="00785D93"/>
    <w:rsid w:val="0083126D"/>
    <w:rsid w:val="00AE5D8D"/>
    <w:rsid w:val="00BE554E"/>
    <w:rsid w:val="00E63962"/>
    <w:rsid w:val="00EB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FA"/>
  </w:style>
  <w:style w:type="paragraph" w:styleId="Ttulo3">
    <w:name w:val="heading 3"/>
    <w:basedOn w:val="Normal"/>
    <w:link w:val="Ttulo3Car"/>
    <w:uiPriority w:val="9"/>
    <w:qFormat/>
    <w:rsid w:val="00AE5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12849"/>
    <w:rPr>
      <w:b/>
      <w:bCs/>
    </w:rPr>
  </w:style>
  <w:style w:type="paragraph" w:styleId="NormalWeb">
    <w:name w:val="Normal (Web)"/>
    <w:basedOn w:val="Normal"/>
    <w:uiPriority w:val="99"/>
    <w:unhideWhenUsed/>
    <w:rsid w:val="00AE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E5D8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AE5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5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5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5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0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76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8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9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9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8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69642">
              <w:marLeft w:val="0"/>
              <w:marRight w:val="0"/>
              <w:marTop w:val="0"/>
              <w:marBottom w:val="0"/>
              <w:divBdr>
                <w:top w:val="single" w:sz="48" w:space="12" w:color="D0D0D0"/>
                <w:left w:val="none" w:sz="0" w:space="0" w:color="auto"/>
                <w:bottom w:val="single" w:sz="48" w:space="12" w:color="D0D0D0"/>
                <w:right w:val="none" w:sz="0" w:space="0" w:color="auto"/>
              </w:divBdr>
              <w:divsChild>
                <w:div w:id="15497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93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40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8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9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9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7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43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7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1112">
              <w:marLeft w:val="0"/>
              <w:marRight w:val="0"/>
              <w:marTop w:val="0"/>
              <w:marBottom w:val="0"/>
              <w:divBdr>
                <w:top w:val="single" w:sz="48" w:space="12" w:color="D0D0D0"/>
                <w:left w:val="none" w:sz="0" w:space="0" w:color="auto"/>
                <w:bottom w:val="single" w:sz="48" w:space="12" w:color="D0D0D0"/>
                <w:right w:val="none" w:sz="0" w:space="0" w:color="auto"/>
              </w:divBdr>
              <w:divsChild>
                <w:div w:id="20917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41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213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6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5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9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9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61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55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4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04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4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0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7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69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723">
              <w:marLeft w:val="0"/>
              <w:marRight w:val="0"/>
              <w:marTop w:val="0"/>
              <w:marBottom w:val="0"/>
              <w:divBdr>
                <w:top w:val="single" w:sz="48" w:space="12" w:color="D0D0D0"/>
                <w:left w:val="none" w:sz="0" w:space="0" w:color="auto"/>
                <w:bottom w:val="single" w:sz="48" w:space="12" w:color="D0D0D0"/>
                <w:right w:val="none" w:sz="0" w:space="0" w:color="auto"/>
              </w:divBdr>
              <w:divsChild>
                <w:div w:id="19283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297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84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f.nu" TargetMode="External"/><Relationship Id="rId13" Type="http://schemas.openxmlformats.org/officeDocument/2006/relationships/hyperlink" Target="http://www.nml.csir.co.za/" TargetMode="External"/><Relationship Id="rId18" Type="http://schemas.openxmlformats.org/officeDocument/2006/relationships/hyperlink" Target="http://www.aeca-itv.com/" TargetMode="External"/><Relationship Id="rId26" Type="http://schemas.openxmlformats.org/officeDocument/2006/relationships/hyperlink" Target="http://www.eurome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m.e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uropean-accreditation.org/" TargetMode="External"/><Relationship Id="rId12" Type="http://schemas.openxmlformats.org/officeDocument/2006/relationships/hyperlink" Target="http://www.apec-pac.org" TargetMode="External"/><Relationship Id="rId17" Type="http://schemas.openxmlformats.org/officeDocument/2006/relationships/hyperlink" Target="http://www.aegic.es" TargetMode="External"/><Relationship Id="rId25" Type="http://schemas.openxmlformats.org/officeDocument/2006/relationships/hyperlink" Target="http://www.eurolab.org/" TargetMode="External"/><Relationship Id="rId33" Type="http://schemas.openxmlformats.org/officeDocument/2006/relationships/hyperlink" Target="http://www.eptis.bam.de/e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orco.org/" TargetMode="External"/><Relationship Id="rId20" Type="http://schemas.openxmlformats.org/officeDocument/2006/relationships/hyperlink" Target="http://www.bipm.org/" TargetMode="External"/><Relationship Id="rId29" Type="http://schemas.openxmlformats.org/officeDocument/2006/relationships/hyperlink" Target="http://www.welme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ac.es/web/enac/localizacion" TargetMode="External"/><Relationship Id="rId11" Type="http://schemas.openxmlformats.org/officeDocument/2006/relationships/hyperlink" Target="http://www.iaac.org.mx" TargetMode="External"/><Relationship Id="rId24" Type="http://schemas.openxmlformats.org/officeDocument/2006/relationships/hyperlink" Target="http://www.eurachem.ul.pt/" TargetMode="External"/><Relationship Id="rId32" Type="http://schemas.openxmlformats.org/officeDocument/2006/relationships/hyperlink" Target="http://ec.europa.eu/enterprise/newapproach/nando/" TargetMode="External"/><Relationship Id="rId5" Type="http://schemas.openxmlformats.org/officeDocument/2006/relationships/hyperlink" Target="http://www.enac.es/html/home.html" TargetMode="External"/><Relationship Id="rId15" Type="http://schemas.openxmlformats.org/officeDocument/2006/relationships/hyperlink" Target="http://www.felab.org/" TargetMode="External"/><Relationship Id="rId23" Type="http://schemas.openxmlformats.org/officeDocument/2006/relationships/hyperlink" Target="http://www.ceoc.com/" TargetMode="External"/><Relationship Id="rId28" Type="http://schemas.openxmlformats.org/officeDocument/2006/relationships/hyperlink" Target="http://www.eoq.org" TargetMode="External"/><Relationship Id="rId10" Type="http://schemas.openxmlformats.org/officeDocument/2006/relationships/hyperlink" Target="http://www.aplac.org" TargetMode="External"/><Relationship Id="rId19" Type="http://schemas.openxmlformats.org/officeDocument/2006/relationships/hyperlink" Target="http://www.aenor.es/desarrollo/normalizacion/normas/buscadornormas.asp?pag=p" TargetMode="External"/><Relationship Id="rId31" Type="http://schemas.openxmlformats.org/officeDocument/2006/relationships/hyperlink" Target="http://www.mity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ac.org/" TargetMode="External"/><Relationship Id="rId14" Type="http://schemas.openxmlformats.org/officeDocument/2006/relationships/hyperlink" Target="http://www.aec.es/" TargetMode="External"/><Relationship Id="rId22" Type="http://schemas.openxmlformats.org/officeDocument/2006/relationships/hyperlink" Target="http://www.cenorm.be/" TargetMode="External"/><Relationship Id="rId27" Type="http://schemas.openxmlformats.org/officeDocument/2006/relationships/hyperlink" Target="http://www.europa.eu.int/" TargetMode="External"/><Relationship Id="rId30" Type="http://schemas.openxmlformats.org/officeDocument/2006/relationships/hyperlink" Target="http://www.iso.ch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1081</Words>
  <Characters>5949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2011-07-29T15:00:00Z</dcterms:created>
  <dcterms:modified xsi:type="dcterms:W3CDTF">2011-07-29T15:00:00Z</dcterms:modified>
</cp:coreProperties>
</file>