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FD" w:rsidRPr="00AA2AA2" w:rsidRDefault="002851E5" w:rsidP="00AA2AA2">
      <w:pPr>
        <w:spacing w:line="240" w:lineRule="auto"/>
        <w:ind w:firstLine="0"/>
        <w:rPr>
          <w:sz w:val="22"/>
          <w:lang w:val="en-CA"/>
        </w:rPr>
      </w:pPr>
      <w:r w:rsidRPr="00AA2AA2">
        <w:rPr>
          <w:sz w:val="22"/>
          <w:lang w:val="en-CA"/>
        </w:rPr>
        <w:fldChar w:fldCharType="begin"/>
      </w:r>
      <w:r w:rsidR="0021506F" w:rsidRPr="00AA2AA2">
        <w:rPr>
          <w:sz w:val="22"/>
          <w:lang w:val="en-CA"/>
        </w:rPr>
        <w:instrText xml:space="preserve"> HYPERLINK "http://206.167.88.22:90/cice/misa-mot/MISA/Francais/MISA4-MOTPlus/2_MISA%204.0%20Glossaire.pdf" </w:instrText>
      </w:r>
      <w:r w:rsidRPr="00AA2AA2">
        <w:rPr>
          <w:sz w:val="22"/>
          <w:lang w:val="en-CA"/>
        </w:rPr>
        <w:fldChar w:fldCharType="separate"/>
      </w:r>
      <w:r w:rsidR="0021506F" w:rsidRPr="00AA2AA2">
        <w:rPr>
          <w:rStyle w:val="Lienhypertexte"/>
          <w:sz w:val="22"/>
          <w:lang w:val="en-CA"/>
        </w:rPr>
        <w:t>http://206.167.88.22:90/cice/misa-mot/MISA/Francais/MISA4-MOTPlus/2_MISA%204.0%20Glossaire.pdf</w:t>
      </w:r>
      <w:r w:rsidRPr="00AA2AA2">
        <w:rPr>
          <w:sz w:val="22"/>
          <w:lang w:val="en-CA"/>
        </w:rPr>
        <w:fldChar w:fldCharType="end"/>
      </w:r>
    </w:p>
    <w:p w:rsidR="0021506F" w:rsidRPr="00AA2AA2" w:rsidRDefault="0021506F" w:rsidP="00AA2AA2">
      <w:pPr>
        <w:autoSpaceDE w:val="0"/>
        <w:autoSpaceDN w:val="0"/>
        <w:adjustRightInd w:val="0"/>
        <w:spacing w:before="240" w:after="120" w:line="240" w:lineRule="auto"/>
        <w:ind w:firstLine="0"/>
        <w:outlineLvl w:val="1"/>
        <w:rPr>
          <w:rFonts w:ascii="Arial Narrow" w:hAnsi="Arial Narrow" w:cs="Arial Narrow"/>
          <w:color w:val="000000"/>
          <w:sz w:val="22"/>
          <w:szCs w:val="23"/>
        </w:rPr>
      </w:pPr>
      <w:r w:rsidRPr="00AA2AA2">
        <w:rPr>
          <w:rFonts w:ascii="Arial Narrow" w:hAnsi="Arial Narrow" w:cs="Arial Narrow"/>
          <w:b/>
          <w:bCs/>
          <w:color w:val="000000"/>
          <w:sz w:val="22"/>
          <w:szCs w:val="23"/>
        </w:rPr>
        <w:t xml:space="preserve">Modèle des connaissances (102, 108, 420) </w:t>
      </w:r>
    </w:p>
    <w:p w:rsidR="0021506F" w:rsidRPr="00AA2AA2" w:rsidRDefault="0021506F" w:rsidP="00AA2AA2">
      <w:pPr>
        <w:autoSpaceDE w:val="0"/>
        <w:autoSpaceDN w:val="0"/>
        <w:adjustRightInd w:val="0"/>
        <w:spacing w:before="30" w:after="3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Ensemble des </w:t>
      </w:r>
      <w:r w:rsidRPr="00AA2AA2">
        <w:rPr>
          <w:rFonts w:cs="Times New Roman"/>
          <w:color w:val="000000"/>
          <w:sz w:val="20"/>
          <w:u w:val="single"/>
        </w:rPr>
        <w:t xml:space="preserve">connaissances </w:t>
      </w:r>
      <w:r w:rsidRPr="00AA2AA2">
        <w:rPr>
          <w:rFonts w:cs="Times New Roman"/>
          <w:color w:val="000000"/>
          <w:sz w:val="20"/>
        </w:rPr>
        <w:t xml:space="preserve">de différents types, </w:t>
      </w:r>
      <w:r w:rsidRPr="00AA2AA2">
        <w:rPr>
          <w:rFonts w:cs="Times New Roman"/>
          <w:color w:val="000000"/>
          <w:sz w:val="20"/>
          <w:u w:val="single"/>
        </w:rPr>
        <w:t>faits</w:t>
      </w:r>
      <w:r w:rsidRPr="00AA2AA2">
        <w:rPr>
          <w:rFonts w:cs="Times New Roman"/>
          <w:color w:val="000000"/>
          <w:sz w:val="20"/>
        </w:rPr>
        <w:t xml:space="preserve">, </w:t>
      </w:r>
      <w:r w:rsidRPr="00AA2AA2">
        <w:rPr>
          <w:rFonts w:cs="Times New Roman"/>
          <w:color w:val="000000"/>
          <w:sz w:val="20"/>
          <w:u w:val="single"/>
        </w:rPr>
        <w:t>concepts</w:t>
      </w:r>
      <w:r w:rsidRPr="00AA2AA2">
        <w:rPr>
          <w:rFonts w:cs="Times New Roman"/>
          <w:color w:val="000000"/>
          <w:sz w:val="20"/>
        </w:rPr>
        <w:t xml:space="preserve">, </w:t>
      </w:r>
      <w:r w:rsidRPr="00AA2AA2">
        <w:rPr>
          <w:rFonts w:cs="Times New Roman"/>
          <w:color w:val="000000"/>
          <w:sz w:val="20"/>
          <w:u w:val="single"/>
        </w:rPr>
        <w:t>procédures</w:t>
      </w:r>
      <w:r w:rsidRPr="00AA2AA2">
        <w:rPr>
          <w:rFonts w:cs="Times New Roman"/>
          <w:color w:val="000000"/>
          <w:sz w:val="20"/>
        </w:rPr>
        <w:t xml:space="preserve">, </w:t>
      </w:r>
      <w:r w:rsidRPr="00AA2AA2">
        <w:rPr>
          <w:rFonts w:cs="Times New Roman"/>
          <w:color w:val="000000"/>
          <w:sz w:val="20"/>
          <w:u w:val="single"/>
        </w:rPr>
        <w:t>principes</w:t>
      </w:r>
      <w:r w:rsidRPr="00AA2AA2">
        <w:rPr>
          <w:rFonts w:cs="Times New Roman"/>
          <w:color w:val="000000"/>
          <w:sz w:val="20"/>
        </w:rPr>
        <w:t xml:space="preserve">, </w:t>
      </w:r>
      <w:r w:rsidRPr="00AA2AA2">
        <w:rPr>
          <w:rFonts w:cs="Times New Roman"/>
          <w:color w:val="000000"/>
          <w:sz w:val="20"/>
          <w:u w:val="single"/>
        </w:rPr>
        <w:t>habiletés</w:t>
      </w:r>
      <w:r w:rsidRPr="00AA2AA2">
        <w:rPr>
          <w:rFonts w:cs="Times New Roman"/>
          <w:color w:val="000000"/>
          <w:sz w:val="20"/>
        </w:rPr>
        <w:t xml:space="preserve">, structuré par différents types de </w:t>
      </w:r>
      <w:r w:rsidRPr="00AA2AA2">
        <w:rPr>
          <w:rFonts w:cs="Times New Roman"/>
          <w:color w:val="000000"/>
          <w:sz w:val="20"/>
          <w:u w:val="single"/>
        </w:rPr>
        <w:t xml:space="preserve">liens </w:t>
      </w:r>
      <w:r w:rsidRPr="00AA2AA2">
        <w:rPr>
          <w:rFonts w:cs="Times New Roman"/>
          <w:color w:val="000000"/>
          <w:sz w:val="20"/>
        </w:rPr>
        <w:t xml:space="preserve">représentant les relations existant entre elles. </w:t>
      </w:r>
    </w:p>
    <w:p w:rsidR="0021506F" w:rsidRPr="00AA2AA2" w:rsidRDefault="0021506F" w:rsidP="00AA2AA2">
      <w:pPr>
        <w:autoSpaceDE w:val="0"/>
        <w:autoSpaceDN w:val="0"/>
        <w:adjustRightInd w:val="0"/>
        <w:spacing w:before="80" w:after="4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i/>
          <w:iCs/>
          <w:color w:val="000000"/>
          <w:sz w:val="20"/>
        </w:rPr>
        <w:t xml:space="preserve">Types de modèles de connaissances et exemples </w:t>
      </w:r>
    </w:p>
    <w:p w:rsidR="0021506F" w:rsidRPr="00AA2AA2" w:rsidRDefault="0021506F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Modèle factuel. </w:t>
      </w:r>
      <w:r w:rsidRPr="00AA2AA2">
        <w:rPr>
          <w:rFonts w:cs="Times New Roman"/>
          <w:color w:val="000000"/>
          <w:sz w:val="20"/>
        </w:rPr>
        <w:t xml:space="preserve">Traces d'exécution d'une procédure de traitement d'un formulaire </w:t>
      </w:r>
    </w:p>
    <w:p w:rsidR="0021506F" w:rsidRPr="00AA2AA2" w:rsidRDefault="0021506F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Modèle conceptuel. </w:t>
      </w:r>
      <w:r w:rsidRPr="00AA2AA2">
        <w:rPr>
          <w:rFonts w:cs="Times New Roman"/>
          <w:color w:val="000000"/>
          <w:sz w:val="20"/>
        </w:rPr>
        <w:t xml:space="preserve">Taxonomie du règne animal. </w:t>
      </w:r>
    </w:p>
    <w:p w:rsidR="0021506F" w:rsidRPr="00AA2AA2" w:rsidRDefault="0021506F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Modèle procédural. </w:t>
      </w:r>
      <w:r w:rsidRPr="00AA2AA2">
        <w:rPr>
          <w:rFonts w:cs="Times New Roman"/>
          <w:color w:val="000000"/>
          <w:sz w:val="20"/>
        </w:rPr>
        <w:t xml:space="preserve">Procédure de calcul de l'impôt sur le revenu. </w:t>
      </w:r>
    </w:p>
    <w:p w:rsidR="0021506F" w:rsidRPr="00AA2AA2" w:rsidRDefault="0021506F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Modèle prescriptif. </w:t>
      </w:r>
      <w:r w:rsidRPr="00AA2AA2">
        <w:rPr>
          <w:rFonts w:cs="Times New Roman"/>
          <w:color w:val="000000"/>
          <w:sz w:val="20"/>
        </w:rPr>
        <w:t xml:space="preserve">Lois de la gravitation. </w:t>
      </w:r>
    </w:p>
    <w:p w:rsidR="0021506F" w:rsidRPr="00AA2AA2" w:rsidRDefault="0021506F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Processus et méthode. </w:t>
      </w:r>
      <w:r w:rsidRPr="00AA2AA2">
        <w:rPr>
          <w:rFonts w:cs="Times New Roman"/>
          <w:color w:val="000000"/>
          <w:sz w:val="20"/>
        </w:rPr>
        <w:t xml:space="preserve">Processus ou méthode de gestion de projets. </w:t>
      </w:r>
    </w:p>
    <w:p w:rsidR="003B4BF6" w:rsidRPr="00AA2AA2" w:rsidRDefault="003B4BF6" w:rsidP="00AA2AA2">
      <w:pPr>
        <w:autoSpaceDE w:val="0"/>
        <w:autoSpaceDN w:val="0"/>
        <w:adjustRightInd w:val="0"/>
        <w:spacing w:before="240" w:after="120" w:line="240" w:lineRule="auto"/>
        <w:ind w:firstLine="0"/>
        <w:outlineLvl w:val="1"/>
        <w:rPr>
          <w:rFonts w:ascii="Arial Narrow" w:hAnsi="Arial Narrow" w:cs="Arial Narrow"/>
          <w:color w:val="000000"/>
          <w:sz w:val="22"/>
          <w:szCs w:val="23"/>
        </w:rPr>
      </w:pPr>
      <w:r w:rsidRPr="00AA2AA2">
        <w:rPr>
          <w:rFonts w:ascii="Arial Narrow" w:hAnsi="Arial Narrow" w:cs="Arial Narrow"/>
          <w:b/>
          <w:bCs/>
          <w:color w:val="000000"/>
          <w:sz w:val="22"/>
          <w:szCs w:val="23"/>
        </w:rPr>
        <w:t xml:space="preserve">Modèle conceptuel (102, 210) </w:t>
      </w:r>
    </w:p>
    <w:p w:rsidR="003B4BF6" w:rsidRPr="00AA2AA2" w:rsidRDefault="003B4BF6" w:rsidP="00AA2AA2">
      <w:pPr>
        <w:autoSpaceDE w:val="0"/>
        <w:autoSpaceDN w:val="0"/>
        <w:adjustRightInd w:val="0"/>
        <w:spacing w:before="30" w:after="3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  <w:u w:val="single"/>
        </w:rPr>
        <w:t xml:space="preserve">Modèle de connaissances </w:t>
      </w:r>
      <w:r w:rsidRPr="00AA2AA2">
        <w:rPr>
          <w:rFonts w:cs="Times New Roman"/>
          <w:color w:val="000000"/>
          <w:sz w:val="20"/>
        </w:rPr>
        <w:t xml:space="preserve">dans lequel les connaissances principales sont des </w:t>
      </w:r>
      <w:r w:rsidRPr="00AA2AA2">
        <w:rPr>
          <w:rFonts w:cs="Times New Roman"/>
          <w:color w:val="000000"/>
          <w:sz w:val="20"/>
          <w:u w:val="single"/>
        </w:rPr>
        <w:t>concepts</w:t>
      </w:r>
      <w:r w:rsidRPr="00AA2AA2">
        <w:rPr>
          <w:rFonts w:cs="Times New Roman"/>
          <w:color w:val="000000"/>
          <w:sz w:val="20"/>
        </w:rPr>
        <w:t xml:space="preserve">. </w:t>
      </w:r>
    </w:p>
    <w:p w:rsidR="003B4BF6" w:rsidRPr="00AA2AA2" w:rsidRDefault="003B4BF6" w:rsidP="00AA2AA2">
      <w:pPr>
        <w:autoSpaceDE w:val="0"/>
        <w:autoSpaceDN w:val="0"/>
        <w:adjustRightInd w:val="0"/>
        <w:spacing w:before="80" w:after="4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i/>
          <w:iCs/>
          <w:color w:val="000000"/>
          <w:sz w:val="20"/>
        </w:rPr>
        <w:t xml:space="preserve">Types de modèles conceptuels et exemples </w:t>
      </w:r>
    </w:p>
    <w:p w:rsidR="003B4BF6" w:rsidRPr="00AA2AA2" w:rsidRDefault="003B4BF6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>Système à composantes</w:t>
      </w:r>
      <w:r w:rsidRPr="00AA2AA2">
        <w:rPr>
          <w:rFonts w:cs="Times New Roman"/>
          <w:color w:val="000000"/>
          <w:sz w:val="20"/>
        </w:rPr>
        <w:t xml:space="preserve">. Ordinateur, ses sous-systèmes et leurs composantes. </w:t>
      </w:r>
    </w:p>
    <w:p w:rsidR="003B4BF6" w:rsidRPr="00AA2AA2" w:rsidRDefault="003B4BF6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Typologie et taxonomie. </w:t>
      </w:r>
      <w:r w:rsidRPr="00AA2AA2">
        <w:rPr>
          <w:rFonts w:cs="Times New Roman"/>
          <w:color w:val="000000"/>
          <w:sz w:val="20"/>
        </w:rPr>
        <w:t xml:space="preserve">Ensemble de classes et de sous-classes de champignons. </w:t>
      </w:r>
    </w:p>
    <w:p w:rsidR="003B4BF6" w:rsidRPr="00AA2AA2" w:rsidRDefault="003B4BF6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>Système conceptuel hybride</w:t>
      </w:r>
      <w:r w:rsidRPr="00AA2AA2">
        <w:rPr>
          <w:rFonts w:cs="Times New Roman"/>
          <w:i/>
          <w:iCs/>
          <w:color w:val="000000"/>
          <w:sz w:val="20"/>
        </w:rPr>
        <w:t xml:space="preserve">. </w:t>
      </w:r>
      <w:r w:rsidRPr="00AA2AA2">
        <w:rPr>
          <w:rFonts w:cs="Times New Roman"/>
          <w:color w:val="000000"/>
          <w:sz w:val="20"/>
        </w:rPr>
        <w:t xml:space="preserve">Système composé de différentes catégories de figures géométriques et de leurs composantes. </w:t>
      </w:r>
    </w:p>
    <w:p w:rsidR="009234CB" w:rsidRPr="00AA2AA2" w:rsidRDefault="009234CB" w:rsidP="00AA2AA2">
      <w:pPr>
        <w:autoSpaceDE w:val="0"/>
        <w:autoSpaceDN w:val="0"/>
        <w:adjustRightInd w:val="0"/>
        <w:spacing w:before="240" w:after="120" w:line="240" w:lineRule="auto"/>
        <w:ind w:firstLine="0"/>
        <w:outlineLvl w:val="1"/>
        <w:rPr>
          <w:rFonts w:ascii="Arial Narrow" w:hAnsi="Arial Narrow" w:cs="Arial Narrow"/>
          <w:color w:val="000000"/>
          <w:sz w:val="22"/>
          <w:szCs w:val="23"/>
        </w:rPr>
      </w:pPr>
      <w:r w:rsidRPr="00AA2AA2">
        <w:rPr>
          <w:rFonts w:ascii="Arial Narrow" w:hAnsi="Arial Narrow" w:cs="Arial Narrow"/>
          <w:b/>
          <w:bCs/>
          <w:color w:val="000000"/>
          <w:sz w:val="22"/>
          <w:szCs w:val="23"/>
        </w:rPr>
        <w:t xml:space="preserve">Modèle factuel (102, 210) </w:t>
      </w:r>
    </w:p>
    <w:p w:rsidR="009234CB" w:rsidRPr="00AA2AA2" w:rsidRDefault="009234CB" w:rsidP="00AA2AA2">
      <w:pPr>
        <w:autoSpaceDE w:val="0"/>
        <w:autoSpaceDN w:val="0"/>
        <w:adjustRightInd w:val="0"/>
        <w:spacing w:before="30" w:after="3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  <w:u w:val="single"/>
        </w:rPr>
        <w:t xml:space="preserve">Modèle de connaissances </w:t>
      </w:r>
      <w:r w:rsidRPr="00AA2AA2">
        <w:rPr>
          <w:rFonts w:cs="Times New Roman"/>
          <w:color w:val="000000"/>
          <w:sz w:val="20"/>
        </w:rPr>
        <w:t xml:space="preserve">dans lequel les connaissances principales sont des </w:t>
      </w:r>
      <w:r w:rsidRPr="00AA2AA2">
        <w:rPr>
          <w:rFonts w:cs="Times New Roman"/>
          <w:color w:val="000000"/>
          <w:sz w:val="20"/>
          <w:u w:val="single"/>
        </w:rPr>
        <w:t>faits</w:t>
      </w:r>
      <w:r w:rsidRPr="00AA2AA2">
        <w:rPr>
          <w:rFonts w:cs="Times New Roman"/>
          <w:color w:val="000000"/>
          <w:sz w:val="20"/>
        </w:rPr>
        <w:t xml:space="preserve">. </w:t>
      </w:r>
    </w:p>
    <w:p w:rsidR="009234CB" w:rsidRPr="00AA2AA2" w:rsidRDefault="009234CB" w:rsidP="00AA2AA2">
      <w:pPr>
        <w:autoSpaceDE w:val="0"/>
        <w:autoSpaceDN w:val="0"/>
        <w:adjustRightInd w:val="0"/>
        <w:spacing w:before="80" w:after="4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i/>
          <w:iCs/>
          <w:color w:val="000000"/>
          <w:sz w:val="20"/>
        </w:rPr>
        <w:t xml:space="preserve">Exemples relatifs aux types de faits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Énoncé. </w:t>
      </w:r>
      <w:r w:rsidRPr="00AA2AA2">
        <w:rPr>
          <w:rFonts w:cs="Times New Roman"/>
          <w:color w:val="000000"/>
          <w:sz w:val="20"/>
        </w:rPr>
        <w:t xml:space="preserve">Énoncé des attributs et des caractéristiques décrivant un médecin précis à titre de professionnel de la santé.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Exemple. </w:t>
      </w:r>
      <w:r w:rsidRPr="00AA2AA2">
        <w:rPr>
          <w:rFonts w:cs="Times New Roman"/>
          <w:color w:val="000000"/>
          <w:sz w:val="20"/>
        </w:rPr>
        <w:t xml:space="preserve">Table d'additions ou de multiplications.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Trace. </w:t>
      </w:r>
      <w:r w:rsidRPr="00AA2AA2">
        <w:rPr>
          <w:rFonts w:cs="Times New Roman"/>
          <w:color w:val="000000"/>
          <w:sz w:val="20"/>
        </w:rPr>
        <w:t xml:space="preserve">Démarche précise suivie par un contribuable qui rédige son rapport d'impôt. </w:t>
      </w:r>
    </w:p>
    <w:p w:rsidR="009234CB" w:rsidRPr="00AA2AA2" w:rsidRDefault="009234CB" w:rsidP="00AA2AA2">
      <w:pPr>
        <w:autoSpaceDE w:val="0"/>
        <w:autoSpaceDN w:val="0"/>
        <w:adjustRightInd w:val="0"/>
        <w:spacing w:before="240" w:after="120" w:line="240" w:lineRule="auto"/>
        <w:ind w:firstLine="0"/>
        <w:outlineLvl w:val="1"/>
        <w:rPr>
          <w:rFonts w:ascii="Arial Narrow" w:hAnsi="Arial Narrow" w:cs="Arial Narrow"/>
          <w:color w:val="000000"/>
          <w:sz w:val="22"/>
          <w:szCs w:val="23"/>
        </w:rPr>
      </w:pPr>
      <w:r w:rsidRPr="00AA2AA2">
        <w:rPr>
          <w:rFonts w:ascii="Arial Narrow" w:hAnsi="Arial Narrow" w:cs="Arial Narrow"/>
          <w:b/>
          <w:bCs/>
          <w:color w:val="000000"/>
          <w:sz w:val="22"/>
          <w:szCs w:val="23"/>
        </w:rPr>
        <w:t xml:space="preserve">Modèle prescriptif (102, 210) </w:t>
      </w:r>
    </w:p>
    <w:p w:rsidR="009234CB" w:rsidRPr="00AA2AA2" w:rsidRDefault="009234CB" w:rsidP="00AA2AA2">
      <w:pPr>
        <w:autoSpaceDE w:val="0"/>
        <w:autoSpaceDN w:val="0"/>
        <w:adjustRightInd w:val="0"/>
        <w:spacing w:before="30" w:after="3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  <w:u w:val="single"/>
        </w:rPr>
        <w:t xml:space="preserve">Modèle de connaissances </w:t>
      </w:r>
      <w:r w:rsidRPr="00AA2AA2">
        <w:rPr>
          <w:rFonts w:cs="Times New Roman"/>
          <w:color w:val="000000"/>
          <w:sz w:val="20"/>
        </w:rPr>
        <w:t xml:space="preserve">dans lequel les connaissances principales sont des </w:t>
      </w:r>
      <w:r w:rsidRPr="00AA2AA2">
        <w:rPr>
          <w:rFonts w:cs="Times New Roman"/>
          <w:color w:val="000000"/>
          <w:sz w:val="20"/>
          <w:u w:val="single"/>
        </w:rPr>
        <w:t>principes</w:t>
      </w:r>
      <w:r w:rsidRPr="00AA2AA2">
        <w:rPr>
          <w:rFonts w:cs="Times New Roman"/>
          <w:color w:val="000000"/>
          <w:sz w:val="20"/>
        </w:rPr>
        <w:t xml:space="preserve">. </w:t>
      </w:r>
    </w:p>
    <w:p w:rsidR="009234CB" w:rsidRPr="00AA2AA2" w:rsidRDefault="009234CB" w:rsidP="00AA2AA2">
      <w:pPr>
        <w:autoSpaceDE w:val="0"/>
        <w:autoSpaceDN w:val="0"/>
        <w:adjustRightInd w:val="0"/>
        <w:spacing w:before="80" w:after="4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i/>
          <w:iCs/>
          <w:color w:val="000000"/>
          <w:sz w:val="20"/>
        </w:rPr>
        <w:t xml:space="preserve">Types de modèles prescriptifs et exemples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Arbre de décision. </w:t>
      </w:r>
      <w:r w:rsidRPr="00AA2AA2">
        <w:rPr>
          <w:rFonts w:cs="Times New Roman"/>
          <w:color w:val="000000"/>
          <w:sz w:val="20"/>
        </w:rPr>
        <w:t xml:space="preserve">Ensemble de règles permettant de choisir une maison ou un </w:t>
      </w:r>
      <w:proofErr w:type="spellStart"/>
      <w:r w:rsidRPr="00AA2AA2">
        <w:rPr>
          <w:rFonts w:cs="Times New Roman"/>
          <w:color w:val="000000"/>
          <w:sz w:val="20"/>
        </w:rPr>
        <w:t>véhi-cule</w:t>
      </w:r>
      <w:proofErr w:type="spellEnd"/>
      <w:r w:rsidRPr="00AA2AA2">
        <w:rPr>
          <w:rFonts w:cs="Times New Roman"/>
          <w:color w:val="000000"/>
          <w:sz w:val="20"/>
        </w:rPr>
        <w:t xml:space="preserve"> en fonction de ses besoins et de ses moyens.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Définition. </w:t>
      </w:r>
      <w:r w:rsidRPr="00AA2AA2">
        <w:rPr>
          <w:rFonts w:cs="Times New Roman"/>
          <w:color w:val="000000"/>
          <w:sz w:val="20"/>
        </w:rPr>
        <w:t xml:space="preserve">En comptabilité, la définition du concept de «surplus accumulé».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Loi et théorie. </w:t>
      </w:r>
      <w:r w:rsidRPr="00AA2AA2">
        <w:rPr>
          <w:rFonts w:cs="Times New Roman"/>
          <w:color w:val="000000"/>
          <w:sz w:val="20"/>
        </w:rPr>
        <w:t xml:space="preserve">En physique, les lois de la gravitation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Structure de contrôle itératif. </w:t>
      </w:r>
      <w:r w:rsidRPr="00AA2AA2">
        <w:rPr>
          <w:rFonts w:cs="Times New Roman"/>
          <w:color w:val="000000"/>
          <w:sz w:val="20"/>
        </w:rPr>
        <w:t xml:space="preserve">Principes pour conduire le diagnostic d’une panne </w:t>
      </w:r>
      <w:proofErr w:type="spellStart"/>
      <w:r w:rsidRPr="00AA2AA2">
        <w:rPr>
          <w:rFonts w:cs="Times New Roman"/>
          <w:color w:val="000000"/>
          <w:sz w:val="20"/>
        </w:rPr>
        <w:t>au-tomobile</w:t>
      </w:r>
      <w:proofErr w:type="spellEnd"/>
      <w:r w:rsidRPr="00AA2AA2">
        <w:rPr>
          <w:rFonts w:cs="Times New Roman"/>
          <w:color w:val="000000"/>
          <w:sz w:val="20"/>
        </w:rPr>
        <w:t xml:space="preserve">. </w:t>
      </w:r>
    </w:p>
    <w:p w:rsidR="009234CB" w:rsidRPr="00AA2AA2" w:rsidRDefault="009234CB" w:rsidP="00AA2AA2">
      <w:pPr>
        <w:autoSpaceDE w:val="0"/>
        <w:autoSpaceDN w:val="0"/>
        <w:adjustRightInd w:val="0"/>
        <w:spacing w:before="240" w:after="120" w:line="240" w:lineRule="auto"/>
        <w:ind w:firstLine="0"/>
        <w:outlineLvl w:val="1"/>
        <w:rPr>
          <w:rFonts w:ascii="Arial Narrow" w:hAnsi="Arial Narrow" w:cs="Arial Narrow"/>
          <w:color w:val="000000"/>
          <w:sz w:val="22"/>
          <w:szCs w:val="23"/>
        </w:rPr>
      </w:pPr>
      <w:r w:rsidRPr="00AA2AA2">
        <w:rPr>
          <w:rFonts w:ascii="Arial Narrow" w:hAnsi="Arial Narrow" w:cs="Arial Narrow"/>
          <w:b/>
          <w:bCs/>
          <w:color w:val="000000"/>
          <w:sz w:val="22"/>
          <w:szCs w:val="23"/>
        </w:rPr>
        <w:t xml:space="preserve">Modèle procédural (102, 210) </w:t>
      </w:r>
    </w:p>
    <w:p w:rsidR="009234CB" w:rsidRPr="00AA2AA2" w:rsidRDefault="009234CB" w:rsidP="00AA2AA2">
      <w:pPr>
        <w:autoSpaceDE w:val="0"/>
        <w:autoSpaceDN w:val="0"/>
        <w:adjustRightInd w:val="0"/>
        <w:spacing w:before="30" w:after="3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  <w:u w:val="single"/>
        </w:rPr>
        <w:t xml:space="preserve">Modèle des connaissances </w:t>
      </w:r>
      <w:r w:rsidRPr="00AA2AA2">
        <w:rPr>
          <w:rFonts w:cs="Times New Roman"/>
          <w:color w:val="000000"/>
          <w:sz w:val="20"/>
        </w:rPr>
        <w:t xml:space="preserve">dans lequel les connaissances principales sont des </w:t>
      </w:r>
      <w:r w:rsidRPr="00AA2AA2">
        <w:rPr>
          <w:rFonts w:cs="Times New Roman"/>
          <w:color w:val="000000"/>
          <w:sz w:val="20"/>
          <w:u w:val="single"/>
        </w:rPr>
        <w:t>procédures</w:t>
      </w:r>
      <w:r w:rsidRPr="00AA2AA2">
        <w:rPr>
          <w:rFonts w:cs="Times New Roman"/>
          <w:color w:val="000000"/>
          <w:sz w:val="20"/>
        </w:rPr>
        <w:t xml:space="preserve">. </w:t>
      </w:r>
    </w:p>
    <w:p w:rsidR="009234CB" w:rsidRPr="00AA2AA2" w:rsidRDefault="009234CB" w:rsidP="00AA2AA2">
      <w:pPr>
        <w:autoSpaceDE w:val="0"/>
        <w:autoSpaceDN w:val="0"/>
        <w:adjustRightInd w:val="0"/>
        <w:spacing w:before="80" w:after="40" w:line="240" w:lineRule="auto"/>
        <w:ind w:firstLine="0"/>
        <w:rPr>
          <w:rFonts w:cs="Times New Roman"/>
          <w:color w:val="000000"/>
          <w:sz w:val="20"/>
        </w:rPr>
      </w:pPr>
      <w:r w:rsidRPr="00AA2AA2">
        <w:rPr>
          <w:rFonts w:cs="Times New Roman"/>
          <w:i/>
          <w:iCs/>
          <w:color w:val="000000"/>
          <w:sz w:val="20"/>
        </w:rPr>
        <w:t xml:space="preserve">Types de modèles procéduraux et exemples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Procédure en série. </w:t>
      </w:r>
      <w:r w:rsidRPr="00AA2AA2">
        <w:rPr>
          <w:rFonts w:cs="Times New Roman"/>
          <w:color w:val="000000"/>
          <w:sz w:val="20"/>
        </w:rPr>
        <w:t xml:space="preserve">Points et sous-points à l’ordre du jour d'une réunion. </w:t>
      </w:r>
    </w:p>
    <w:p w:rsidR="009234C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rFonts w:cs="Times New Roman"/>
          <w:color w:val="000000"/>
          <w:sz w:val="20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Procédure itérative. </w:t>
      </w:r>
      <w:r w:rsidRPr="00AA2AA2">
        <w:rPr>
          <w:rFonts w:cs="Times New Roman"/>
          <w:color w:val="000000"/>
          <w:sz w:val="20"/>
        </w:rPr>
        <w:t xml:space="preserve">Boucle de rétroaction dans un thermostat. </w:t>
      </w:r>
    </w:p>
    <w:p w:rsidR="00A2577B" w:rsidRPr="00AA2AA2" w:rsidRDefault="009234CB" w:rsidP="00AA2AA2">
      <w:pPr>
        <w:autoSpaceDE w:val="0"/>
        <w:autoSpaceDN w:val="0"/>
        <w:adjustRightInd w:val="0"/>
        <w:spacing w:before="40" w:after="40" w:line="240" w:lineRule="auto"/>
        <w:ind w:left="360" w:hanging="360"/>
        <w:rPr>
          <w:sz w:val="22"/>
        </w:rPr>
      </w:pPr>
      <w:r w:rsidRPr="00AA2AA2">
        <w:rPr>
          <w:rFonts w:cs="Times New Roman"/>
          <w:color w:val="000000"/>
          <w:sz w:val="20"/>
        </w:rPr>
        <w:t xml:space="preserve">• </w:t>
      </w:r>
      <w:r w:rsidRPr="00AA2AA2">
        <w:rPr>
          <w:rFonts w:cs="Times New Roman"/>
          <w:b/>
          <w:bCs/>
          <w:color w:val="000000"/>
          <w:sz w:val="20"/>
        </w:rPr>
        <w:t xml:space="preserve">Procédure en parallèle. </w:t>
      </w:r>
      <w:r w:rsidRPr="00AA2AA2">
        <w:rPr>
          <w:rFonts w:cs="Times New Roman"/>
          <w:color w:val="000000"/>
          <w:sz w:val="20"/>
        </w:rPr>
        <w:t xml:space="preserve">Tâches de rédaction d'un ouvrage collectif ou de réalisation d'un projet. Certaines tâches sont effectuées simultanément (en parallèle) par différentes personnes. </w:t>
      </w:r>
    </w:p>
    <w:sectPr w:rsidR="00A2577B" w:rsidRPr="00AA2AA2" w:rsidSect="002212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1506F"/>
    <w:rsid w:val="001A3272"/>
    <w:rsid w:val="0021506F"/>
    <w:rsid w:val="002212FD"/>
    <w:rsid w:val="002530B9"/>
    <w:rsid w:val="002851E5"/>
    <w:rsid w:val="002E7CCB"/>
    <w:rsid w:val="003B4BF6"/>
    <w:rsid w:val="003B7604"/>
    <w:rsid w:val="004D4015"/>
    <w:rsid w:val="00546AC5"/>
    <w:rsid w:val="00797164"/>
    <w:rsid w:val="00840AA1"/>
    <w:rsid w:val="009234CB"/>
    <w:rsid w:val="00A2577B"/>
    <w:rsid w:val="00A40BFD"/>
    <w:rsid w:val="00AA2AA2"/>
    <w:rsid w:val="00AC431C"/>
    <w:rsid w:val="00B72900"/>
    <w:rsid w:val="00C418BA"/>
    <w:rsid w:val="00DA03AB"/>
    <w:rsid w:val="00F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4"/>
    <w:pPr>
      <w:spacing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716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Default"/>
    <w:next w:val="Default"/>
    <w:link w:val="Titre2Car"/>
    <w:uiPriority w:val="99"/>
    <w:qFormat/>
    <w:rsid w:val="0021506F"/>
    <w:pPr>
      <w:outlineLvl w:val="1"/>
    </w:pPr>
    <w:rPr>
      <w:rFonts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797164"/>
    <w:pPr>
      <w:spacing w:line="240" w:lineRule="auto"/>
      <w:ind w:left="567" w:right="567" w:firstLine="0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97164"/>
    <w:rPr>
      <w:rFonts w:ascii="Times New Roman" w:hAnsi="Times New Roman"/>
      <w:iCs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79716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REFERRENCE">
    <w:name w:val="REFERRENCE"/>
    <w:basedOn w:val="Citation"/>
    <w:link w:val="REFERRENCECar"/>
    <w:qFormat/>
    <w:rsid w:val="00AC431C"/>
    <w:pPr>
      <w:ind w:right="0" w:hanging="567"/>
      <w:mirrorIndents/>
    </w:pPr>
  </w:style>
  <w:style w:type="character" w:customStyle="1" w:styleId="REFERRENCECar">
    <w:name w:val="REFERRENCE Car"/>
    <w:basedOn w:val="CitationCar"/>
    <w:link w:val="REFERRENCE"/>
    <w:rsid w:val="00AC431C"/>
    <w:rPr>
      <w:iCs/>
    </w:rPr>
  </w:style>
  <w:style w:type="character" w:customStyle="1" w:styleId="Titre2Car">
    <w:name w:val="Titre 2 Car"/>
    <w:basedOn w:val="Policepardfaut"/>
    <w:link w:val="Titre2"/>
    <w:uiPriority w:val="99"/>
    <w:rsid w:val="0021506F"/>
    <w:rPr>
      <w:rFonts w:ascii="Arial Narrow" w:hAnsi="Arial Narrow"/>
      <w:sz w:val="24"/>
      <w:szCs w:val="24"/>
    </w:rPr>
  </w:style>
  <w:style w:type="paragraph" w:customStyle="1" w:styleId="Default">
    <w:name w:val="Default"/>
    <w:rsid w:val="0021506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uiPriority w:val="99"/>
    <w:rsid w:val="0021506F"/>
    <w:rPr>
      <w:rFonts w:cstheme="minorBidi"/>
      <w:color w:val="auto"/>
    </w:rPr>
  </w:style>
  <w:style w:type="paragraph" w:styleId="Listepuces">
    <w:name w:val="List Bullet"/>
    <w:basedOn w:val="Default"/>
    <w:next w:val="Default"/>
    <w:uiPriority w:val="99"/>
    <w:rsid w:val="0021506F"/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21506F"/>
    <w:rPr>
      <w:color w:val="0000FF" w:themeColor="hyperlink"/>
      <w:u w:val="single"/>
    </w:rPr>
  </w:style>
  <w:style w:type="paragraph" w:customStyle="1" w:styleId="Arialnarrow13ptsbold">
    <w:name w:val="Arialnarrow13ptsbold"/>
    <w:basedOn w:val="Default"/>
    <w:next w:val="Default"/>
    <w:uiPriority w:val="99"/>
    <w:rsid w:val="002E7CCB"/>
    <w:rPr>
      <w:rFonts w:cstheme="minorBidi"/>
      <w:color w:val="auto"/>
    </w:rPr>
  </w:style>
  <w:style w:type="paragraph" w:customStyle="1" w:styleId="normal10pt">
    <w:name w:val="normal10pt"/>
    <w:basedOn w:val="Default"/>
    <w:next w:val="Default"/>
    <w:uiPriority w:val="99"/>
    <w:rsid w:val="002E7CCB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aux Université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2011-10-08T17:03:00Z</dcterms:created>
  <dcterms:modified xsi:type="dcterms:W3CDTF">2011-10-08T17:07:00Z</dcterms:modified>
</cp:coreProperties>
</file>