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bookmarkStart w:id="0" w:name="_GoBack"/>
      <w:bookmarkEnd w:id="0"/>
      <w:r w:rsidRPr="000D5672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PE"/>
        </w:rPr>
        <w:t xml:space="preserve"> Costes de almacenaje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Es lo que cuesta mantener los artículos en el almacén. El </w:t>
      </w:r>
      <w:r w:rsidRPr="000D5672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PE"/>
        </w:rPr>
        <w:t>coste de almacenaje </w:t>
      </w:r>
      <w:r w:rsidRPr="000D5672">
        <w:rPr>
          <w:rFonts w:ascii="Arial" w:eastAsia="Times New Roman" w:hAnsi="Arial" w:cs="Arial"/>
          <w:b/>
          <w:bCs/>
          <w:i/>
          <w:iCs/>
          <w:color w:val="505050"/>
          <w:sz w:val="24"/>
          <w:szCs w:val="24"/>
          <w:lang w:eastAsia="es-PE"/>
        </w:rPr>
        <w:t>(CA</w:t>
      </w:r>
      <w:proofErr w:type="gramStart"/>
      <w:r w:rsidRPr="000D5672">
        <w:rPr>
          <w:rFonts w:ascii="Arial" w:eastAsia="Times New Roman" w:hAnsi="Arial" w:cs="Arial"/>
          <w:b/>
          <w:bCs/>
          <w:i/>
          <w:iCs/>
          <w:color w:val="505050"/>
          <w:sz w:val="24"/>
          <w:szCs w:val="24"/>
          <w:lang w:eastAsia="es-PE"/>
        </w:rPr>
        <w:t>)</w:t>
      </w: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se</w:t>
      </w:r>
      <w:proofErr w:type="gramEnd"/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 xml:space="preserve"> suele medir por unidades físicas de artículos, de forma que para hallar el coste de almacenaje total, multiplicamos el coste de mantener cada unidad </w:t>
      </w:r>
      <w:r w:rsidRPr="000D5672">
        <w:rPr>
          <w:rFonts w:ascii="Arial" w:eastAsia="Times New Roman" w:hAnsi="Arial" w:cs="Arial"/>
          <w:i/>
          <w:iCs/>
          <w:color w:val="505050"/>
          <w:sz w:val="24"/>
          <w:szCs w:val="24"/>
          <w:lang w:eastAsia="es-PE"/>
        </w:rPr>
        <w:t>(Ca)</w:t>
      </w: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 por el stock medio</w:t>
      </w:r>
      <w:r w:rsidRPr="000D5672">
        <w:rPr>
          <w:rFonts w:ascii="Arial" w:eastAsia="Times New Roman" w:hAnsi="Arial" w:cs="Arial"/>
          <w:i/>
          <w:iCs/>
          <w:color w:val="505050"/>
          <w:sz w:val="24"/>
          <w:szCs w:val="24"/>
          <w:lang w:eastAsia="es-PE"/>
        </w:rPr>
        <w:t>(Q/2). Q</w:t>
      </w: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 es la cantidad que se pide en cada pedido. En fórmula: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noProof/>
          <w:color w:val="505050"/>
          <w:sz w:val="24"/>
          <w:szCs w:val="24"/>
          <w:lang w:eastAsia="es-PE"/>
        </w:rPr>
        <w:drawing>
          <wp:inline distT="0" distB="0" distL="0" distR="0" wp14:anchorId="69F47729" wp14:editId="628C56A7">
            <wp:extent cx="2886075" cy="409575"/>
            <wp:effectExtent l="0" t="0" r="9525" b="9525"/>
            <wp:docPr id="1" name="Imagen 1" descr="Costes de almacenaje. Fórmulas.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stes de almacenaje. Fórmulas.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A esto habría que sumar el coste de almacenar el </w:t>
      </w:r>
      <w:r w:rsidRPr="000D5672">
        <w:rPr>
          <w:rFonts w:ascii="Arial" w:eastAsia="Times New Roman" w:hAnsi="Arial" w:cs="Arial"/>
          <w:b/>
          <w:bCs/>
          <w:color w:val="505050"/>
          <w:sz w:val="24"/>
          <w:szCs w:val="24"/>
          <w:lang w:eastAsia="es-PE"/>
        </w:rPr>
        <w:t>stock de seguridad.</w:t>
      </w: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 Este coste se calcula multiplicando el coste unitario por el stock de seguridad.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noProof/>
          <w:color w:val="505050"/>
          <w:sz w:val="24"/>
          <w:szCs w:val="24"/>
          <w:lang w:eastAsia="es-PE"/>
        </w:rPr>
        <w:drawing>
          <wp:inline distT="0" distB="0" distL="0" distR="0" wp14:anchorId="2F0A2A8B" wp14:editId="340ED19E">
            <wp:extent cx="1609725" cy="2085975"/>
            <wp:effectExtent l="0" t="0" r="9525" b="9525"/>
            <wp:docPr id="2" name="Imagen 2" descr="Almacenaje. Sistemas de gestión de ped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macenaje. Sistemas de gestión de pedi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Teniendo en cuenta esto, el coste de almacenamiento quedaría así: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noProof/>
          <w:color w:val="505050"/>
          <w:sz w:val="24"/>
          <w:szCs w:val="24"/>
          <w:lang w:eastAsia="es-PE"/>
        </w:rPr>
        <w:drawing>
          <wp:inline distT="0" distB="0" distL="0" distR="0" wp14:anchorId="5CE4AA25" wp14:editId="4B60319F">
            <wp:extent cx="2886075" cy="400050"/>
            <wp:effectExtent l="0" t="0" r="9525" b="0"/>
            <wp:docPr id="3" name="Imagen 3" descr="Costes de almacenaje. Fórmulas.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stes de almacenaje. Fórmulas.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0F1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0D5672" w:rsidRPr="000D5672" w:rsidTr="000D5672">
        <w:trPr>
          <w:tblCellSpacing w:w="15" w:type="dxa"/>
        </w:trPr>
        <w:tc>
          <w:tcPr>
            <w:tcW w:w="0" w:type="auto"/>
            <w:shd w:val="clear" w:color="auto" w:fill="F0F1F9"/>
            <w:vAlign w:val="center"/>
            <w:hideMark/>
          </w:tcPr>
          <w:p w:rsidR="000D5672" w:rsidRPr="000D5672" w:rsidRDefault="000D5672" w:rsidP="000D5672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s-PE"/>
              </w:rPr>
            </w:pPr>
            <w:r w:rsidRPr="000D5672">
              <w:rPr>
                <w:rFonts w:ascii="Arial" w:eastAsia="Times New Roman" w:hAnsi="Arial" w:cs="Arial"/>
                <w:color w:val="505050"/>
                <w:sz w:val="24"/>
                <w:szCs w:val="24"/>
                <w:lang w:eastAsia="es-PE"/>
              </w:rPr>
              <w:t>El porcentaje que representa el coste de almacenamiento respecto al valor del stock medio se llama tasa de posesión o mantenimiento del stock.</w:t>
            </w:r>
          </w:p>
        </w:tc>
      </w:tr>
    </w:tbl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No obstante, el coste de almacenaje engloba numerosos gastos que es importante conocer: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Costes relacionados con el local. Dentro de éstos, se pueden considerar por separado o conjuntamente el coste del suelo y el edificio, y el de las instalaciones.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La maquinaria y elementos de manipulación.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lastRenderedPageBreak/>
        <w:t>• La mano de obra.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El mantenimiento.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Administración en general y de la logística en particular.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Seguros e impuestos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Costes generales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Costes por tenencia de stocks.</w:t>
      </w:r>
    </w:p>
    <w:p w:rsidR="000D5672" w:rsidRPr="000D5672" w:rsidRDefault="000D5672" w:rsidP="000D5672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eastAsia="es-PE"/>
        </w:rPr>
      </w:pPr>
      <w:r w:rsidRPr="000D5672">
        <w:rPr>
          <w:rFonts w:ascii="Arial" w:eastAsia="Times New Roman" w:hAnsi="Arial" w:cs="Arial"/>
          <w:color w:val="505050"/>
          <w:sz w:val="24"/>
          <w:szCs w:val="24"/>
          <w:lang w:eastAsia="es-PE"/>
        </w:rPr>
        <w:t>• Otros gastos.</w:t>
      </w:r>
    </w:p>
    <w:p w:rsidR="0088552A" w:rsidRDefault="0088552A"/>
    <w:sectPr w:rsidR="00885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931"/>
    <w:multiLevelType w:val="multilevel"/>
    <w:tmpl w:val="2F7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2"/>
    <w:rsid w:val="000D5672"/>
    <w:rsid w:val="008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028">
          <w:marLeft w:val="0"/>
          <w:marRight w:val="0"/>
          <w:marTop w:val="75"/>
          <w:marBottom w:val="75"/>
          <w:divBdr>
            <w:top w:val="single" w:sz="6" w:space="0" w:color="E1E1E1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286159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</dc:creator>
  <cp:lastModifiedBy>CHIMI</cp:lastModifiedBy>
  <cp:revision>1</cp:revision>
  <dcterms:created xsi:type="dcterms:W3CDTF">2012-08-17T20:11:00Z</dcterms:created>
  <dcterms:modified xsi:type="dcterms:W3CDTF">2012-08-17T20:11:00Z</dcterms:modified>
</cp:coreProperties>
</file>