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AC" w:rsidRDefault="00EF39AC" w:rsidP="00EF39AC">
      <w:pPr>
        <w:pStyle w:val="Sangra3detindependiente"/>
        <w:spacing w:line="240" w:lineRule="exact"/>
        <w:ind w:firstLine="708"/>
        <w:jc w:val="right"/>
        <w:rPr>
          <w:rFonts w:ascii="Times New Roman" w:hAnsi="Times New Roman"/>
          <w:i/>
          <w:sz w:val="22"/>
        </w:rPr>
      </w:pPr>
      <w:r>
        <w:rPr>
          <w:rFonts w:ascii="Times New Roman" w:hAnsi="Times New Roman"/>
          <w:i/>
          <w:sz w:val="22"/>
        </w:rPr>
        <w:t>Ejemplo de certificado</w:t>
      </w:r>
    </w:p>
    <w:p w:rsidR="00EF39AC" w:rsidRDefault="00EF39AC" w:rsidP="00EF39AC">
      <w:pPr>
        <w:suppressAutoHyphens/>
        <w:rPr>
          <w:spacing w:val="-2"/>
        </w:rPr>
      </w:pPr>
    </w:p>
    <w:p w:rsidR="00EF39AC" w:rsidRDefault="00EF39AC" w:rsidP="00EF39AC">
      <w:pPr>
        <w:pStyle w:val="Ttulo"/>
        <w:pBdr>
          <w:bottom w:val="none" w:sz="0" w:space="0" w:color="auto"/>
        </w:pBdr>
      </w:pPr>
      <w:bookmarkStart w:id="0" w:name="_GoBack"/>
      <w:bookmarkEnd w:id="0"/>
    </w:p>
    <w:p w:rsidR="00EF39AC" w:rsidRDefault="00EF39AC" w:rsidP="00EF39AC">
      <w:pPr>
        <w:pStyle w:val="Sangradetextonormal"/>
        <w:ind w:left="0"/>
      </w:pPr>
    </w:p>
    <w:p w:rsidR="00EF39AC" w:rsidRDefault="00EF39AC" w:rsidP="00EF39AC">
      <w:pPr>
        <w:pStyle w:val="Sangradetextonormal"/>
        <w:ind w:left="0"/>
      </w:pPr>
    </w:p>
    <w:p w:rsidR="00EF39AC" w:rsidRDefault="00EF39AC" w:rsidP="00EF39AC">
      <w:pPr>
        <w:pStyle w:val="Sangradetextonormal"/>
        <w:ind w:left="0"/>
        <w:jc w:val="center"/>
        <w:rPr>
          <w:b/>
          <w:sz w:val="28"/>
        </w:rPr>
      </w:pPr>
      <w:r>
        <w:rPr>
          <w:b/>
          <w:sz w:val="28"/>
        </w:rPr>
        <w:t>CERTIFICADO DE CARGA LECTIVA</w:t>
      </w:r>
    </w:p>
    <w:p w:rsidR="00EF39AC" w:rsidRDefault="00EF39AC" w:rsidP="00EF39AC">
      <w:pPr>
        <w:pStyle w:val="Sangradetextonormal"/>
        <w:ind w:left="0"/>
      </w:pPr>
    </w:p>
    <w:p w:rsidR="00EF39AC" w:rsidRDefault="00EF39AC" w:rsidP="00EF39AC">
      <w:pPr>
        <w:pStyle w:val="Sangradetextonormal"/>
        <w:ind w:left="0"/>
      </w:pPr>
    </w:p>
    <w:p w:rsidR="00EF39AC" w:rsidRDefault="00EF39AC" w:rsidP="00EF39AC">
      <w:pPr>
        <w:pStyle w:val="Sangradetextonormal"/>
        <w:ind w:left="0"/>
      </w:pPr>
      <w:r>
        <w:t>JOSE LUIS EJEMPLO SÁNCHEZ, SECRETARIO DE LA ESCUELA UNIVERSITARIA POLITÉCNICA DE LA UNIVERSIDAD DE LAS PALMAS DE GRAN CANARIA</w:t>
      </w:r>
    </w:p>
    <w:p w:rsidR="00EF39AC" w:rsidRDefault="00EF39AC" w:rsidP="00EF39AC">
      <w:pPr>
        <w:pStyle w:val="Sangradetextonormal"/>
        <w:ind w:left="0"/>
      </w:pPr>
    </w:p>
    <w:p w:rsidR="00EF39AC" w:rsidRDefault="00EF39AC" w:rsidP="00EF39AC">
      <w:pPr>
        <w:pStyle w:val="Sangradetextonormal"/>
        <w:ind w:left="0"/>
      </w:pPr>
    </w:p>
    <w:p w:rsidR="00EF39AC" w:rsidRDefault="00EF39AC" w:rsidP="00EF39AC">
      <w:pPr>
        <w:pStyle w:val="Sangradetextonormal"/>
        <w:ind w:left="14" w:firstLine="837"/>
      </w:pPr>
      <w:r>
        <w:t>CERTIFICA:</w:t>
      </w:r>
    </w:p>
    <w:p w:rsidR="00EF39AC" w:rsidRDefault="00EF39AC" w:rsidP="00EF39AC">
      <w:pPr>
        <w:pStyle w:val="Sangradetextonormal"/>
        <w:ind w:left="14" w:hanging="14"/>
      </w:pPr>
    </w:p>
    <w:p w:rsidR="00EF39AC" w:rsidRDefault="00EF39AC" w:rsidP="00EF39AC">
      <w:pPr>
        <w:pStyle w:val="Sangradetextonormal"/>
        <w:ind w:left="14" w:firstLine="837"/>
      </w:pPr>
      <w:r>
        <w:t>Que según el plan de estudios vigente de la titulación de Ingeniería Técnica de Obras Públicas, especialidad Construcciones Civiles</w:t>
      </w:r>
      <w:r>
        <w:rPr>
          <w:i/>
        </w:rPr>
        <w:t xml:space="preserve"> </w:t>
      </w:r>
      <w:r>
        <w:t>(</w:t>
      </w:r>
      <w:r>
        <w:rPr>
          <w:i/>
        </w:rPr>
        <w:t>Real Decreto de 3 de agosto de 1991</w:t>
      </w:r>
      <w:r>
        <w:t>, BOE de 12 de octubre), las asignaturas correspondientes al primer curso que a continuación se indican, tienen la siguiente carga lectiva semanal</w:t>
      </w:r>
      <w:r>
        <w:rPr>
          <w:rStyle w:val="Refdenotaalpie"/>
        </w:rPr>
        <w:footnoteReference w:id="1"/>
      </w:r>
      <w:r>
        <w:t>:</w:t>
      </w:r>
    </w:p>
    <w:p w:rsidR="00EF39AC" w:rsidRDefault="00EF39AC" w:rsidP="00EF39AC">
      <w:pPr>
        <w:ind w:left="-284"/>
        <w:rPr>
          <w:color w:val="000000"/>
        </w:rPr>
      </w:pPr>
    </w:p>
    <w:tbl>
      <w:tblPr>
        <w:tblW w:w="0" w:type="auto"/>
        <w:jc w:val="center"/>
        <w:tblLayout w:type="fixed"/>
        <w:tblCellMar>
          <w:left w:w="70" w:type="dxa"/>
          <w:right w:w="70" w:type="dxa"/>
        </w:tblCellMar>
        <w:tblLook w:val="0000" w:firstRow="0" w:lastRow="0" w:firstColumn="0" w:lastColumn="0" w:noHBand="0" w:noVBand="0"/>
      </w:tblPr>
      <w:tblGrid>
        <w:gridCol w:w="8169"/>
      </w:tblGrid>
      <w:tr w:rsidR="00EF39AC" w:rsidTr="001E5F87">
        <w:tblPrEx>
          <w:tblCellMar>
            <w:top w:w="0" w:type="dxa"/>
            <w:bottom w:w="0" w:type="dxa"/>
          </w:tblCellMar>
        </w:tblPrEx>
        <w:trPr>
          <w:jc w:val="center"/>
        </w:trPr>
        <w:tc>
          <w:tcPr>
            <w:tcW w:w="8169" w:type="dxa"/>
            <w:tcBorders>
              <w:top w:val="single" w:sz="6" w:space="0" w:color="auto"/>
              <w:left w:val="single" w:sz="6" w:space="0" w:color="auto"/>
              <w:bottom w:val="single" w:sz="6" w:space="0" w:color="auto"/>
              <w:right w:val="single" w:sz="6" w:space="0" w:color="auto"/>
            </w:tcBorders>
          </w:tcPr>
          <w:p w:rsidR="00EF39AC" w:rsidRPr="00EF39AC" w:rsidRDefault="00EF39AC" w:rsidP="001E5F87">
            <w:pPr>
              <w:rPr>
                <w:color w:val="000000"/>
                <w:sz w:val="22"/>
                <w:lang w:val="es-ES"/>
              </w:rPr>
            </w:pPr>
            <w:r w:rsidRPr="00EF39AC">
              <w:rPr>
                <w:color w:val="000000"/>
                <w:sz w:val="22"/>
                <w:lang w:val="es-ES"/>
              </w:rPr>
              <w:t>Álgebra Lineal...........................................................................................5 H/S</w:t>
            </w:r>
            <w:r>
              <w:rPr>
                <w:rStyle w:val="Refdenotaalpie"/>
                <w:color w:val="000000"/>
              </w:rPr>
              <w:footnoteReference w:customMarkFollows="1" w:id="2"/>
              <w:sym w:font="Symbol" w:char="F0B7"/>
            </w:r>
          </w:p>
          <w:p w:rsidR="00EF39AC" w:rsidRDefault="00EF39AC" w:rsidP="001E5F87">
            <w:pPr>
              <w:rPr>
                <w:color w:val="000000"/>
                <w:sz w:val="22"/>
              </w:rPr>
            </w:pPr>
            <w:r>
              <w:rPr>
                <w:color w:val="000000"/>
                <w:sz w:val="22"/>
              </w:rPr>
              <w:t>Cálculo Infinitesimal..................................................................................6 H/S</w:t>
            </w:r>
          </w:p>
          <w:p w:rsidR="00EF39AC" w:rsidRDefault="00EF39AC" w:rsidP="001E5F87">
            <w:pPr>
              <w:rPr>
                <w:color w:val="000000"/>
                <w:sz w:val="22"/>
              </w:rPr>
            </w:pPr>
            <w:r>
              <w:rPr>
                <w:color w:val="000000"/>
                <w:sz w:val="22"/>
              </w:rPr>
              <w:t>Física General...........................................................................................6 H/S</w:t>
            </w:r>
          </w:p>
          <w:p w:rsidR="00EF39AC" w:rsidRDefault="00EF39AC" w:rsidP="001E5F87">
            <w:pPr>
              <w:rPr>
                <w:color w:val="000000"/>
                <w:sz w:val="22"/>
              </w:rPr>
            </w:pPr>
            <w:r>
              <w:rPr>
                <w:color w:val="000000"/>
                <w:sz w:val="22"/>
              </w:rPr>
              <w:t>Química General.......................................................................................5 H/S</w:t>
            </w:r>
          </w:p>
          <w:p w:rsidR="00EF39AC" w:rsidRDefault="00EF39AC" w:rsidP="001E5F87">
            <w:r>
              <w:rPr>
                <w:color w:val="000000"/>
                <w:sz w:val="22"/>
              </w:rPr>
              <w:t>Dibujo Técnico I........................................................................................</w:t>
            </w:r>
            <w:r>
              <w:rPr>
                <w:color w:val="000000"/>
              </w:rPr>
              <w:t>4 H/S</w:t>
            </w:r>
          </w:p>
        </w:tc>
      </w:tr>
    </w:tbl>
    <w:p w:rsidR="00EF39AC" w:rsidRDefault="00EF39AC" w:rsidP="00EF39AC">
      <w:pPr>
        <w:ind w:left="-284"/>
        <w:rPr>
          <w:color w:val="000000"/>
        </w:rPr>
      </w:pPr>
    </w:p>
    <w:p w:rsidR="00EF39AC" w:rsidRDefault="00EF39AC" w:rsidP="00EF39AC">
      <w:pPr>
        <w:ind w:firstLine="851"/>
      </w:pPr>
      <w:r>
        <w:t>Para que así conste a los efectos oportunos y a solicitud de doña Ana Vélez Rodríguez, se emite el presente certificado en Las Palmas de Gran Canaria, a quince de febrero de dos mil.</w:t>
      </w:r>
    </w:p>
    <w:p w:rsidR="00EF39AC" w:rsidRDefault="00EF39AC" w:rsidP="00EF39AC">
      <w:pPr>
        <w:ind w:left="-284" w:firstLine="284"/>
        <w:rPr>
          <w:i/>
          <w:sz w:val="22"/>
        </w:rPr>
      </w:pPr>
    </w:p>
    <w:p w:rsidR="00EF39AC" w:rsidRDefault="00EF39AC" w:rsidP="00EF39AC">
      <w:pPr>
        <w:ind w:left="-284" w:firstLine="284"/>
        <w:rPr>
          <w:i/>
          <w:sz w:val="22"/>
        </w:rPr>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00EF39AC" w:rsidTr="001E5F87">
        <w:tblPrEx>
          <w:tblCellMar>
            <w:top w:w="0" w:type="dxa"/>
            <w:bottom w:w="0" w:type="dxa"/>
          </w:tblCellMar>
        </w:tblPrEx>
        <w:tc>
          <w:tcPr>
            <w:tcW w:w="4322" w:type="dxa"/>
          </w:tcPr>
          <w:p w:rsidR="00EF39AC" w:rsidRDefault="00EF39AC" w:rsidP="001E5F87">
            <w:pPr>
              <w:jc w:val="center"/>
            </w:pPr>
          </w:p>
          <w:p w:rsidR="00EF39AC" w:rsidRDefault="00EF39AC" w:rsidP="001E5F87">
            <w:pPr>
              <w:jc w:val="center"/>
            </w:pPr>
          </w:p>
          <w:p w:rsidR="00EF39AC" w:rsidRDefault="00EF39AC" w:rsidP="001E5F87">
            <w:pPr>
              <w:jc w:val="center"/>
            </w:pPr>
          </w:p>
          <w:p w:rsidR="00EF39AC" w:rsidRDefault="00EF39AC" w:rsidP="001E5F87">
            <w:pPr>
              <w:jc w:val="center"/>
            </w:pPr>
            <w:r>
              <w:t>V.º B.º</w:t>
            </w:r>
          </w:p>
          <w:p w:rsidR="00EF39AC" w:rsidRDefault="00EF39AC" w:rsidP="001E5F87">
            <w:pPr>
              <w:jc w:val="center"/>
            </w:pPr>
            <w:r>
              <w:t>EL DIRECTOR DE LA ESCUELA</w:t>
            </w:r>
          </w:p>
          <w:p w:rsidR="00EF39AC" w:rsidRDefault="00EF39AC" w:rsidP="001E5F87">
            <w:pPr>
              <w:jc w:val="center"/>
            </w:pPr>
            <w:r>
              <w:t>UNIVERSITARIA POLITÉCNICA</w:t>
            </w:r>
          </w:p>
          <w:p w:rsidR="00EF39AC" w:rsidRDefault="00EF39AC" w:rsidP="001E5F87">
            <w:pPr>
              <w:jc w:val="center"/>
            </w:pPr>
          </w:p>
          <w:p w:rsidR="00EF39AC" w:rsidRDefault="00EF39AC" w:rsidP="001E5F87">
            <w:pPr>
              <w:jc w:val="center"/>
            </w:pPr>
          </w:p>
          <w:p w:rsidR="00EF39AC" w:rsidRDefault="00EF39AC" w:rsidP="001E5F87">
            <w:pPr>
              <w:jc w:val="center"/>
            </w:pPr>
          </w:p>
          <w:p w:rsidR="00EF39AC" w:rsidRDefault="00EF39AC" w:rsidP="001E5F87">
            <w:pPr>
              <w:jc w:val="center"/>
            </w:pPr>
          </w:p>
          <w:p w:rsidR="00EF39AC" w:rsidRDefault="00EF39AC" w:rsidP="001E5F87">
            <w:pPr>
              <w:jc w:val="center"/>
            </w:pPr>
            <w:r>
              <w:t xml:space="preserve">Pedro Pérez </w:t>
            </w:r>
            <w:proofErr w:type="spellStart"/>
            <w:r>
              <w:t>Pérez</w:t>
            </w:r>
            <w:proofErr w:type="spellEnd"/>
          </w:p>
        </w:tc>
        <w:tc>
          <w:tcPr>
            <w:tcW w:w="4322" w:type="dxa"/>
          </w:tcPr>
          <w:p w:rsidR="00EF39AC" w:rsidRDefault="00EF39AC" w:rsidP="001E5F87">
            <w:pPr>
              <w:jc w:val="center"/>
              <w:rPr>
                <w:i/>
                <w:sz w:val="22"/>
              </w:rPr>
            </w:pPr>
            <w:r>
              <w:rPr>
                <w:i/>
                <w:sz w:val="22"/>
              </w:rPr>
              <w:t>(firma y sello)</w:t>
            </w:r>
          </w:p>
        </w:tc>
      </w:tr>
    </w:tbl>
    <w:p w:rsidR="00E568D1" w:rsidRDefault="00E568D1" w:rsidP="00EF39AC"/>
    <w:sectPr w:rsidR="00E568D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C6" w:rsidRDefault="002945C6" w:rsidP="00EF39AC">
      <w:r>
        <w:separator/>
      </w:r>
    </w:p>
  </w:endnote>
  <w:endnote w:type="continuationSeparator" w:id="0">
    <w:p w:rsidR="002945C6" w:rsidRDefault="002945C6" w:rsidP="00E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C6" w:rsidRDefault="002945C6" w:rsidP="00EF39AC">
      <w:r>
        <w:separator/>
      </w:r>
    </w:p>
  </w:footnote>
  <w:footnote w:type="continuationSeparator" w:id="0">
    <w:p w:rsidR="002945C6" w:rsidRDefault="002945C6" w:rsidP="00EF39AC">
      <w:r>
        <w:continuationSeparator/>
      </w:r>
    </w:p>
  </w:footnote>
  <w:footnote w:id="1">
    <w:p w:rsidR="00EF39AC" w:rsidRDefault="00EF39AC" w:rsidP="00EF39AC">
      <w:pPr>
        <w:pStyle w:val="Textonotapie"/>
        <w:jc w:val="both"/>
        <w:rPr>
          <w:rFonts w:ascii="Arial" w:hAnsi="Arial"/>
          <w:color w:val="auto"/>
        </w:rPr>
      </w:pPr>
      <w:r>
        <w:rPr>
          <w:rStyle w:val="Refdenotaalpie"/>
          <w:rFonts w:ascii="Arial" w:hAnsi="Arial"/>
          <w:b/>
          <w:color w:val="auto"/>
          <w:sz w:val="32"/>
        </w:rPr>
        <w:footnoteRef/>
      </w:r>
      <w:r>
        <w:rPr>
          <w:rFonts w:ascii="Arial" w:hAnsi="Arial"/>
          <w:color w:val="auto"/>
        </w:rPr>
        <w:t>Según el plan de estudios de la titulación de Ingeniería Técnica en Obras Públicas impartido en esta Escuela, la carga lectiva de cada asignatura se especifica por horas. Se debe tener en cuenta que diez horas constituyen un crédito y un curso académico se compone de treinta semanas.</w:t>
      </w:r>
    </w:p>
  </w:footnote>
  <w:footnote w:id="2">
    <w:p w:rsidR="00EF39AC" w:rsidRDefault="00EF39AC" w:rsidP="00EF39AC">
      <w:pPr>
        <w:pStyle w:val="Textonotapie"/>
        <w:rPr>
          <w:color w:val="auto"/>
        </w:rPr>
      </w:pPr>
      <w:r>
        <w:rPr>
          <w:rStyle w:val="Refdenotaalpie"/>
          <w:rFonts w:ascii="Arial" w:hAnsi="Arial"/>
          <w:color w:val="auto"/>
          <w:sz w:val="28"/>
        </w:rPr>
        <w:sym w:font="Symbol" w:char="F0B7"/>
      </w:r>
      <w:r>
        <w:rPr>
          <w:color w:val="auto"/>
        </w:rPr>
        <w:t xml:space="preserve"> H/S: horas por semana.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A7"/>
    <w:rsid w:val="000A7667"/>
    <w:rsid w:val="002945C6"/>
    <w:rsid w:val="00B626A7"/>
    <w:rsid w:val="00E568D1"/>
    <w:rsid w:val="00EF39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2013-04-09T18:15:00Z</dcterms:created>
  <dcterms:modified xsi:type="dcterms:W3CDTF">2013-04-09T18:15:00Z</dcterms:modified>
</cp:coreProperties>
</file>