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0" w:rsidRPr="009E0020" w:rsidRDefault="009E0020" w:rsidP="009E00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020">
        <w:rPr>
          <w:rFonts w:ascii="Times New Roman" w:hAnsi="Times New Roman" w:cs="Times New Roman"/>
          <w:b/>
          <w:sz w:val="24"/>
          <w:szCs w:val="24"/>
        </w:rPr>
        <w:t>Nuovi esperimenti e la reazione di Volta</w:t>
      </w:r>
    </w:p>
    <w:p w:rsidR="009E0020" w:rsidRPr="009E0020" w:rsidRDefault="009E0020" w:rsidP="009E0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0020">
        <w:rPr>
          <w:rFonts w:ascii="Times New Roman" w:hAnsi="Times New Roman" w:cs="Times New Roman"/>
          <w:sz w:val="24"/>
          <w:szCs w:val="24"/>
        </w:rPr>
        <w:t>Nel  1794 i galvaniani producono nuove evidenze a favore dell'elettricità animale. Essi mostrano infatti che le contrazioni possono avvenire anche ponendo semplicemente in contatto i nervi crurali con i muscoli delle zampe delle rane. In quell'anno viene pubblicato il Trattato dell'uso e dell'attività dell'arco conduttore nelle contrazioni dei muscoli, probabimente opera di Galvani stesso oppure del nipote Aldini.</w:t>
      </w:r>
    </w:p>
    <w:p w:rsidR="00472AB9" w:rsidRPr="009E0020" w:rsidRDefault="009E0020" w:rsidP="009E0020">
      <w:pPr>
        <w:jc w:val="both"/>
        <w:rPr>
          <w:rFonts w:ascii="Times New Roman" w:hAnsi="Times New Roman" w:cs="Times New Roman"/>
          <w:sz w:val="24"/>
          <w:szCs w:val="24"/>
        </w:rPr>
      </w:pPr>
      <w:r w:rsidRPr="009E0020">
        <w:rPr>
          <w:rFonts w:ascii="Times New Roman" w:hAnsi="Times New Roman" w:cs="Times New Roman"/>
          <w:sz w:val="24"/>
          <w:szCs w:val="24"/>
        </w:rPr>
        <w:t>Anche se questi fatti sembrano a favore della vittoria di Galvani, Volta riesce a reinterpretarli, formulando l'ipotesi che anche i conduttori di seconda classe possano essere dei generatori di elettricità.</w:t>
      </w:r>
      <w:bookmarkStart w:id="0" w:name="_GoBack"/>
      <w:bookmarkEnd w:id="0"/>
    </w:p>
    <w:sectPr w:rsidR="00472AB9" w:rsidRPr="009E0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7"/>
    <w:rsid w:val="002A01F7"/>
    <w:rsid w:val="00472AB9"/>
    <w:rsid w:val="009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2013-05-28T19:59:00Z</dcterms:created>
  <dcterms:modified xsi:type="dcterms:W3CDTF">2013-05-28T20:00:00Z</dcterms:modified>
</cp:coreProperties>
</file>