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FCB" w:rsidRDefault="00480FCB" w:rsidP="00480FCB">
      <w:pPr>
        <w:jc w:val="center"/>
        <w:rPr>
          <w:b/>
          <w:color w:val="FF0000"/>
        </w:rPr>
      </w:pPr>
      <w:r>
        <w:rPr>
          <w:b/>
          <w:color w:val="FF0000"/>
        </w:rPr>
        <w:t>COMBI-KEL 40</w:t>
      </w:r>
    </w:p>
    <w:p w:rsidR="00480FCB" w:rsidRDefault="00480FCB" w:rsidP="00480FCB">
      <w:pPr>
        <w:jc w:val="center"/>
        <w:rPr>
          <w:b/>
          <w:color w:val="FF0000"/>
        </w:rPr>
      </w:pPr>
    </w:p>
    <w:p w:rsidR="00480FCB" w:rsidRDefault="00480FCB" w:rsidP="00480FCB">
      <w:proofErr w:type="spellStart"/>
      <w:r>
        <w:t>Combi-kel</w:t>
      </w:r>
      <w:proofErr w:type="spellEnd"/>
      <w:r>
        <w:t xml:space="preserve"> 40 (</w:t>
      </w:r>
      <w:proofErr w:type="spellStart"/>
      <w:r>
        <w:t>Penstrep</w:t>
      </w:r>
      <w:proofErr w:type="spellEnd"/>
      <w:r>
        <w:t xml:space="preserve"> &amp; Streptomycin) = 200,000 IU/ml</w:t>
      </w:r>
    </w:p>
    <w:p w:rsidR="00480FCB" w:rsidRDefault="00480FCB" w:rsidP="00480FCB">
      <w:r>
        <w:t>Calf estimated weight = 120kg</w:t>
      </w:r>
    </w:p>
    <w:p w:rsidR="00480FCB" w:rsidRDefault="00480FCB" w:rsidP="00480FCB">
      <w:r>
        <w:t>Dose = 10,000IU/kg</w:t>
      </w:r>
    </w:p>
    <w:p w:rsidR="00480FCB" w:rsidRDefault="00480FCB" w:rsidP="00480FCB"/>
    <w:p w:rsidR="00480FCB" w:rsidRDefault="00480FCB" w:rsidP="00480FCB">
      <w:pPr>
        <w:rPr>
          <w:b/>
        </w:rPr>
      </w:pPr>
      <w:r>
        <w:rPr>
          <w:b/>
        </w:rPr>
        <w:t>Calculation</w:t>
      </w:r>
    </w:p>
    <w:p w:rsidR="00480FCB" w:rsidRDefault="00480FCB" w:rsidP="00480FCB">
      <w:r>
        <w:t>Amount to be administer</w:t>
      </w:r>
      <w:r>
        <w:t>ed using the dosage of 10,000IU/kg</w:t>
      </w:r>
    </w:p>
    <w:p w:rsidR="00480FCB" w:rsidRDefault="00480FCB" w:rsidP="00480FCB">
      <w:pPr>
        <w:rPr>
          <w:rFonts w:eastAsiaTheme="minorEastAsia"/>
        </w:rPr>
      </w:pPr>
      <w:proofErr w:type="spellStart"/>
      <w:r>
        <w:t>Bomazine</w:t>
      </w:r>
      <w:proofErr w:type="spellEnd"/>
      <w:r>
        <w:t xml:space="preserve"> 2% = </w:t>
      </w:r>
      <m:oMath>
        <m:f>
          <m:fPr>
            <m:ctrlPr>
              <w:rPr>
                <w:rFonts w:ascii="Cambria Math" w:hAnsi="Cambria Math"/>
              </w:rPr>
            </m:ctrlPr>
          </m:fPr>
          <m:num>
            <m:r>
              <m:rPr>
                <m:sty m:val="p"/>
              </m:rPr>
              <w:rPr>
                <w:rFonts w:ascii="Cambria Math" w:hAnsi="Cambria Math"/>
              </w:rPr>
              <m:t>120kg x 10,000IU/kg</m:t>
            </m:r>
          </m:num>
          <m:den>
            <m:r>
              <m:rPr>
                <m:sty m:val="p"/>
              </m:rPr>
              <w:rPr>
                <w:rFonts w:ascii="Cambria Math" w:hAnsi="Cambria Math"/>
              </w:rPr>
              <m:t>200,000IU/kg</m:t>
            </m:r>
          </m:den>
        </m:f>
      </m:oMath>
      <w:r>
        <w:rPr>
          <w:rFonts w:eastAsiaTheme="minorEastAsia"/>
        </w:rPr>
        <w:t xml:space="preserve"> = 6</w:t>
      </w:r>
      <w:r>
        <w:rPr>
          <w:rFonts w:eastAsiaTheme="minorEastAsia"/>
        </w:rPr>
        <w:t>ml</w:t>
      </w:r>
    </w:p>
    <w:p w:rsidR="00480FCB" w:rsidRDefault="00480FCB" w:rsidP="00480FCB">
      <w:pPr>
        <w:rPr>
          <w:rFonts w:eastAsiaTheme="minorEastAsia"/>
        </w:rPr>
      </w:pPr>
    </w:p>
    <w:p w:rsidR="00480FCB" w:rsidRDefault="00480FCB" w:rsidP="00480FCB">
      <w:pPr>
        <w:rPr>
          <w:rFonts w:eastAsiaTheme="minorEastAsia"/>
          <w:b/>
        </w:rPr>
      </w:pPr>
      <w:r>
        <w:rPr>
          <w:rFonts w:eastAsiaTheme="minorEastAsia"/>
          <w:b/>
        </w:rPr>
        <w:t>Use:</w:t>
      </w:r>
    </w:p>
    <w:p w:rsidR="00480FCB" w:rsidRDefault="00480FCB" w:rsidP="00480FCB">
      <w:pPr>
        <w:rPr>
          <w:shd w:val="clear" w:color="auto" w:fill="FFFFFF"/>
        </w:rPr>
      </w:pPr>
      <w:r>
        <w:rPr>
          <w:shd w:val="clear" w:color="auto" w:fill="FFFFFF"/>
        </w:rPr>
        <w:t>Broad Spectrum Antibiotic</w:t>
      </w:r>
    </w:p>
    <w:p w:rsidR="00480FCB" w:rsidRPr="004E4D3B" w:rsidRDefault="00480FCB" w:rsidP="00480FCB">
      <w:pPr>
        <w:rPr>
          <w:rFonts w:eastAsiaTheme="minorEastAsia"/>
        </w:rPr>
      </w:pPr>
    </w:p>
    <w:p w:rsidR="00480FCB" w:rsidRDefault="00480FCB" w:rsidP="00480FCB">
      <w:pPr>
        <w:rPr>
          <w:rFonts w:eastAsiaTheme="minorEastAsia"/>
          <w:b/>
        </w:rPr>
      </w:pPr>
      <w:r>
        <w:rPr>
          <w:rFonts w:eastAsiaTheme="minorEastAsia"/>
          <w:b/>
        </w:rPr>
        <w:t>Contraindications</w:t>
      </w:r>
    </w:p>
    <w:p w:rsidR="00480FCB" w:rsidRPr="00480FCB" w:rsidRDefault="00480FCB" w:rsidP="00480FCB">
      <w:r w:rsidRPr="00480FCB">
        <w:t>Do not administer to animals known to be hypersens</w:t>
      </w:r>
      <w:r w:rsidRPr="00480FCB">
        <w:t xml:space="preserve">itive to one of the components. Do not give if the animal has significant renal insufficiency. </w:t>
      </w:r>
      <w:r w:rsidRPr="00480FCB">
        <w:t>Do not use intravenously.</w:t>
      </w:r>
    </w:p>
    <w:p w:rsidR="00480FCB" w:rsidRPr="00480FCB" w:rsidRDefault="00480FCB" w:rsidP="00480FCB">
      <w:pPr>
        <w:rPr>
          <w:sz w:val="20"/>
          <w:szCs w:val="20"/>
        </w:rPr>
      </w:pPr>
    </w:p>
    <w:p w:rsidR="00480FCB" w:rsidRDefault="00480FCB" w:rsidP="00480FCB">
      <w:pPr>
        <w:rPr>
          <w:rFonts w:eastAsiaTheme="minorEastAsia"/>
          <w:b/>
        </w:rPr>
      </w:pPr>
      <w:r>
        <w:rPr>
          <w:rFonts w:eastAsiaTheme="minorEastAsia"/>
          <w:b/>
        </w:rPr>
        <w:t>Route of administration</w:t>
      </w:r>
    </w:p>
    <w:p w:rsidR="00480FCB" w:rsidRDefault="00480FCB" w:rsidP="00480FCB">
      <w:pPr>
        <w:rPr>
          <w:rFonts w:eastAsiaTheme="minorEastAsia"/>
        </w:rPr>
      </w:pPr>
      <w:r>
        <w:rPr>
          <w:rFonts w:eastAsiaTheme="minorEastAsia"/>
        </w:rPr>
        <w:t>Intramuscular or subcutaneously</w:t>
      </w:r>
    </w:p>
    <w:p w:rsidR="00480FCB" w:rsidRDefault="00480FCB" w:rsidP="00480FCB">
      <w:pPr>
        <w:rPr>
          <w:rFonts w:eastAsiaTheme="minorEastAsia"/>
        </w:rPr>
      </w:pPr>
    </w:p>
    <w:p w:rsidR="00480FCB" w:rsidRDefault="00480FCB" w:rsidP="00480FCB">
      <w:pPr>
        <w:rPr>
          <w:rFonts w:eastAsiaTheme="minorEastAsia"/>
          <w:b/>
        </w:rPr>
      </w:pPr>
      <w:r>
        <w:rPr>
          <w:rFonts w:eastAsiaTheme="minorEastAsia"/>
          <w:b/>
        </w:rPr>
        <w:t>Other Information</w:t>
      </w:r>
    </w:p>
    <w:p w:rsidR="00480FCB" w:rsidRPr="00480FCB" w:rsidRDefault="00480FCB" w:rsidP="00480FCB">
      <w:pPr>
        <w:rPr>
          <w:rFonts w:eastAsiaTheme="minorEastAsia"/>
        </w:rPr>
      </w:pPr>
      <w:r>
        <w:rPr>
          <w:rFonts w:eastAsiaTheme="minorEastAsia"/>
        </w:rPr>
        <w:t>The drug was administered intramuscularly. This was the first drug to be administered. Since it is an antibiotic, by the time surgery was initiated, there would have been the drug systemically due to the route of administration.</w:t>
      </w:r>
      <w:bookmarkStart w:id="0" w:name="_GoBack"/>
      <w:bookmarkEnd w:id="0"/>
    </w:p>
    <w:p w:rsidR="00480FCB" w:rsidRDefault="00480FCB" w:rsidP="00480FCB">
      <w:pPr>
        <w:rPr>
          <w:rFonts w:eastAsiaTheme="minorEastAsia"/>
        </w:rPr>
      </w:pPr>
    </w:p>
    <w:p w:rsidR="00480FCB" w:rsidRDefault="00480FCB" w:rsidP="00480FCB">
      <w:pPr>
        <w:rPr>
          <w:rFonts w:eastAsiaTheme="minorEastAsia"/>
          <w:b/>
        </w:rPr>
      </w:pPr>
      <w:r>
        <w:rPr>
          <w:rFonts w:eastAsiaTheme="minorEastAsia"/>
          <w:b/>
        </w:rPr>
        <w:t>Reference</w:t>
      </w:r>
    </w:p>
    <w:p w:rsidR="00480FCB" w:rsidRPr="002E735A" w:rsidRDefault="00480FCB" w:rsidP="00480FCB">
      <w:pPr>
        <w:rPr>
          <w:rFonts w:eastAsiaTheme="minorEastAsia"/>
        </w:rPr>
      </w:pPr>
      <w:r>
        <w:rPr>
          <w:rFonts w:eastAsiaTheme="minorEastAsia"/>
        </w:rPr>
        <w:t>Plumb, D.C., 2011, Plumb’s Veterinary Drug Handbook, 7</w:t>
      </w:r>
      <w:r w:rsidRPr="002E735A">
        <w:rPr>
          <w:rFonts w:eastAsiaTheme="minorEastAsia"/>
          <w:vertAlign w:val="superscript"/>
        </w:rPr>
        <w:t>th</w:t>
      </w:r>
      <w:r>
        <w:rPr>
          <w:rFonts w:eastAsiaTheme="minorEastAsia"/>
        </w:rPr>
        <w:t xml:space="preserve"> </w:t>
      </w:r>
      <w:proofErr w:type="spellStart"/>
      <w:proofErr w:type="gramStart"/>
      <w:r>
        <w:rPr>
          <w:rFonts w:eastAsiaTheme="minorEastAsia"/>
        </w:rPr>
        <w:t>ed</w:t>
      </w:r>
      <w:proofErr w:type="spellEnd"/>
      <w:proofErr w:type="gramEnd"/>
      <w:r>
        <w:rPr>
          <w:rFonts w:eastAsiaTheme="minorEastAsia"/>
        </w:rPr>
        <w:t xml:space="preserve">, </w:t>
      </w:r>
      <w:proofErr w:type="spellStart"/>
      <w:r>
        <w:rPr>
          <w:rFonts w:eastAsiaTheme="minorEastAsia"/>
        </w:rPr>
        <w:t>PharmaVet</w:t>
      </w:r>
      <w:proofErr w:type="spellEnd"/>
      <w:r>
        <w:rPr>
          <w:rFonts w:eastAsiaTheme="minorEastAsia"/>
        </w:rPr>
        <w:t xml:space="preserve"> </w:t>
      </w:r>
      <w:proofErr w:type="spellStart"/>
      <w:r>
        <w:rPr>
          <w:rFonts w:eastAsiaTheme="minorEastAsia"/>
        </w:rPr>
        <w:t>Inc</w:t>
      </w:r>
      <w:proofErr w:type="spellEnd"/>
      <w:r>
        <w:rPr>
          <w:rFonts w:eastAsiaTheme="minorEastAsia"/>
        </w:rPr>
        <w:t>, Willey-Blackwell, Wisconsin</w:t>
      </w:r>
    </w:p>
    <w:p w:rsidR="00480FCB" w:rsidRPr="001910CA" w:rsidRDefault="00480FCB" w:rsidP="00480FCB"/>
    <w:p w:rsidR="00480FCB" w:rsidRDefault="00480FCB" w:rsidP="00480FCB">
      <w:pPr>
        <w:jc w:val="center"/>
      </w:pPr>
    </w:p>
    <w:p w:rsidR="00480FCB" w:rsidRDefault="00480FCB" w:rsidP="00480FCB"/>
    <w:p w:rsidR="00480FCB" w:rsidRDefault="00480FCB" w:rsidP="00480FCB"/>
    <w:p w:rsidR="00A717D6" w:rsidRDefault="00A717D6"/>
    <w:sectPr w:rsidR="00A71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2E6330"/>
    <w:multiLevelType w:val="hybridMultilevel"/>
    <w:tmpl w:val="C5DA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CB"/>
    <w:rsid w:val="00480FCB"/>
    <w:rsid w:val="00A71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4B3C5-4822-4304-B6A7-6ECC9C46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Siew Leng Achong</dc:creator>
  <cp:keywords/>
  <dc:description/>
  <cp:lastModifiedBy>Siew Leng Achong</cp:lastModifiedBy>
  <cp:revision>1</cp:revision>
  <dcterms:created xsi:type="dcterms:W3CDTF">2014-09-14T01:16:00Z</dcterms:created>
  <dcterms:modified xsi:type="dcterms:W3CDTF">2014-09-14T01:24:00Z</dcterms:modified>
</cp:coreProperties>
</file>