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CC" w:rsidRDefault="003760CC" w:rsidP="003760CC">
      <w:pPr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760CC" w:rsidRDefault="003760CC" w:rsidP="003760CC"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Extrait de : </w:t>
      </w:r>
      <w:r w:rsidRPr="00707600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Module II : Introduction à la Topométrie, la Géodésie et le GPS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707600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La Géomatique et ses Référentiels GMT-6000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Hedia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Sammari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, Édition 2014 Révisé Janvier 2016, Université Laval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, p. 20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3760CC" w:rsidRDefault="003760CC" w:rsidP="003760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760CC" w:rsidRDefault="003760CC" w:rsidP="003760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La topométrie hydrographique :</w:t>
      </w:r>
    </w:p>
    <w:p w:rsidR="003760CC" w:rsidRDefault="003760CC" w:rsidP="003760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760CC" w:rsidRDefault="003760CC" w:rsidP="00376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Appelée é</w:t>
      </w:r>
      <w:r>
        <w:rPr>
          <w:rFonts w:ascii="Calibri" w:hAnsi="Calibri" w:cs="Calibri"/>
          <w:sz w:val="24"/>
          <w:szCs w:val="24"/>
        </w:rPr>
        <w:t>galement l’hydrographie</w:t>
      </w:r>
      <w:r>
        <w:rPr>
          <w:rFonts w:ascii="Calibri" w:hAnsi="Calibri" w:cs="Calibri"/>
          <w:sz w:val="24"/>
          <w:szCs w:val="24"/>
        </w:rPr>
        <w:t xml:space="preserve">, elle a comme objectif de représenter des reliefs </w:t>
      </w:r>
    </w:p>
    <w:p w:rsidR="003760CC" w:rsidRDefault="003760CC" w:rsidP="00376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hydrographiques</w:t>
      </w:r>
      <w:proofErr w:type="gramEnd"/>
      <w:r>
        <w:rPr>
          <w:rFonts w:ascii="Calibri" w:hAnsi="Calibri" w:cs="Calibri"/>
          <w:sz w:val="24"/>
          <w:szCs w:val="24"/>
        </w:rPr>
        <w:t xml:space="preserve"> tels que les littor</w:t>
      </w:r>
      <w:r>
        <w:rPr>
          <w:rFonts w:ascii="Calibri" w:hAnsi="Calibri" w:cs="Calibri"/>
          <w:sz w:val="24"/>
          <w:szCs w:val="24"/>
        </w:rPr>
        <w:t>aux, les fonds marins, les riviè</w:t>
      </w:r>
      <w:r>
        <w:rPr>
          <w:rFonts w:ascii="Calibri" w:hAnsi="Calibri" w:cs="Calibri"/>
          <w:sz w:val="24"/>
          <w:szCs w:val="24"/>
        </w:rPr>
        <w:t>res, etc. Elle s’</w:t>
      </w:r>
      <w:r>
        <w:rPr>
          <w:rFonts w:ascii="Calibri" w:hAnsi="Calibri" w:cs="Calibri"/>
          <w:sz w:val="24"/>
          <w:szCs w:val="24"/>
        </w:rPr>
        <w:t>inté</w:t>
      </w:r>
      <w:r>
        <w:rPr>
          <w:rFonts w:ascii="Calibri" w:hAnsi="Calibri" w:cs="Calibri"/>
          <w:sz w:val="24"/>
          <w:szCs w:val="24"/>
        </w:rPr>
        <w:t>resse</w:t>
      </w:r>
    </w:p>
    <w:p w:rsidR="007A095B" w:rsidRDefault="003760CC" w:rsidP="00376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également</w:t>
      </w:r>
      <w:proofErr w:type="gramEnd"/>
      <w:r>
        <w:rPr>
          <w:rFonts w:ascii="Calibri" w:hAnsi="Calibri" w:cs="Calibri"/>
          <w:sz w:val="24"/>
          <w:szCs w:val="24"/>
        </w:rPr>
        <w:t xml:space="preserve"> à</w:t>
      </w:r>
      <w:r>
        <w:rPr>
          <w:rFonts w:ascii="Calibri" w:hAnsi="Calibri" w:cs="Calibri"/>
          <w:sz w:val="24"/>
          <w:szCs w:val="24"/>
        </w:rPr>
        <w:t xml:space="preserve"> l’</w:t>
      </w:r>
      <w:r>
        <w:rPr>
          <w:rFonts w:ascii="Calibri" w:hAnsi="Calibri" w:cs="Calibri"/>
          <w:sz w:val="24"/>
          <w:szCs w:val="24"/>
        </w:rPr>
        <w:t>é</w:t>
      </w:r>
      <w:r>
        <w:rPr>
          <w:rFonts w:ascii="Calibri" w:hAnsi="Calibri" w:cs="Calibri"/>
          <w:sz w:val="24"/>
          <w:szCs w:val="24"/>
        </w:rPr>
        <w:t>tude des ph</w:t>
      </w:r>
      <w:r>
        <w:rPr>
          <w:rFonts w:ascii="Calibri" w:hAnsi="Calibri" w:cs="Calibri"/>
          <w:sz w:val="24"/>
          <w:szCs w:val="24"/>
        </w:rPr>
        <w:t xml:space="preserve">énomènes hydrologiques comme les marées, les courants marins, et </w:t>
      </w:r>
      <w:r>
        <w:rPr>
          <w:rFonts w:ascii="Calibri" w:hAnsi="Calibri" w:cs="Calibri"/>
          <w:sz w:val="24"/>
          <w:szCs w:val="24"/>
        </w:rPr>
        <w:t>ainsi de suite. La</w:t>
      </w:r>
      <w:r>
        <w:rPr>
          <w:rFonts w:ascii="Calibri" w:hAnsi="Calibri" w:cs="Calibri"/>
          <w:sz w:val="24"/>
          <w:szCs w:val="24"/>
        </w:rPr>
        <w:t xml:space="preserve"> figure suivante montre le systè</w:t>
      </w:r>
      <w:r>
        <w:rPr>
          <w:rFonts w:ascii="Calibri" w:hAnsi="Calibri" w:cs="Calibri"/>
          <w:sz w:val="24"/>
          <w:szCs w:val="24"/>
        </w:rPr>
        <w:t>me AU</w:t>
      </w:r>
      <w:r>
        <w:rPr>
          <w:rFonts w:ascii="Calibri" w:hAnsi="Calibri" w:cs="Calibri"/>
          <w:sz w:val="24"/>
          <w:szCs w:val="24"/>
        </w:rPr>
        <w:t xml:space="preserve">V YSI </w:t>
      </w:r>
      <w:proofErr w:type="spellStart"/>
      <w:r>
        <w:rPr>
          <w:rFonts w:ascii="Calibri" w:hAnsi="Calibri" w:cs="Calibri"/>
          <w:sz w:val="24"/>
          <w:szCs w:val="24"/>
        </w:rPr>
        <w:t>EcoMapper</w:t>
      </w:r>
      <w:proofErr w:type="spellEnd"/>
      <w:r>
        <w:rPr>
          <w:rFonts w:ascii="Calibri" w:hAnsi="Calibri" w:cs="Calibri"/>
          <w:sz w:val="24"/>
          <w:szCs w:val="24"/>
        </w:rPr>
        <w:t xml:space="preserve"> utilise pour la cartographie haute résolution de la qualité</w:t>
      </w:r>
      <w:r>
        <w:rPr>
          <w:rFonts w:ascii="Calibri" w:hAnsi="Calibri" w:cs="Calibri"/>
          <w:sz w:val="24"/>
          <w:szCs w:val="24"/>
        </w:rPr>
        <w:t xml:space="preserve"> d’</w:t>
      </w:r>
      <w:r>
        <w:rPr>
          <w:rFonts w:ascii="Calibri" w:hAnsi="Calibri" w:cs="Calibri"/>
          <w:sz w:val="24"/>
          <w:szCs w:val="24"/>
        </w:rPr>
        <w:t>eau et de la bathymé</w:t>
      </w:r>
      <w:r>
        <w:rPr>
          <w:rFonts w:ascii="Calibri" w:hAnsi="Calibri" w:cs="Calibri"/>
          <w:sz w:val="24"/>
          <w:szCs w:val="24"/>
        </w:rPr>
        <w:t>trie (mesure</w:t>
      </w:r>
      <w:r>
        <w:rPr>
          <w:rFonts w:ascii="Calibri" w:hAnsi="Calibri" w:cs="Calibri"/>
          <w:sz w:val="24"/>
          <w:szCs w:val="24"/>
        </w:rPr>
        <w:t xml:space="preserve"> de la profondeur </w:t>
      </w:r>
      <w:r>
        <w:rPr>
          <w:rFonts w:ascii="Calibri" w:hAnsi="Calibri" w:cs="Calibri"/>
          <w:sz w:val="24"/>
          <w:szCs w:val="24"/>
        </w:rPr>
        <w:t>des eaux).</w:t>
      </w:r>
    </w:p>
    <w:p w:rsidR="003760CC" w:rsidRDefault="003760CC" w:rsidP="003760CC">
      <w:pPr>
        <w:rPr>
          <w:rFonts w:ascii="Calibri" w:hAnsi="Calibri" w:cs="Calibri"/>
          <w:sz w:val="24"/>
          <w:szCs w:val="24"/>
        </w:rPr>
      </w:pPr>
    </w:p>
    <w:p w:rsidR="003760CC" w:rsidRDefault="003760CC" w:rsidP="003760CC">
      <w:bookmarkStart w:id="0" w:name="_GoBack"/>
      <w:r>
        <w:rPr>
          <w:noProof/>
          <w:lang w:eastAsia="fr-CA"/>
        </w:rPr>
        <w:drawing>
          <wp:inline distT="0" distB="0" distL="0" distR="0">
            <wp:extent cx="3886200" cy="38552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554" cy="385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60CC" w:rsidRDefault="003760CC" w:rsidP="003760CC">
      <w:r>
        <w:rPr>
          <w:rFonts w:ascii="Calibri-Bold" w:hAnsi="Calibri-Bold" w:cs="Calibri-Bold"/>
          <w:b/>
          <w:bCs/>
          <w:sz w:val="20"/>
          <w:szCs w:val="20"/>
        </w:rPr>
        <w:t xml:space="preserve">Figure 18 : Le système AUV YSI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EcoMapper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 xml:space="preserve"> (Source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EcoMapper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>)</w:t>
      </w:r>
    </w:p>
    <w:sectPr w:rsidR="003760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C"/>
    <w:rsid w:val="003760CC"/>
    <w:rsid w:val="007A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des pêches et de l'aquaculture du Québec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2016-03-01T17:49:00Z</dcterms:created>
  <dcterms:modified xsi:type="dcterms:W3CDTF">2016-03-01T17:57:00Z</dcterms:modified>
</cp:coreProperties>
</file>