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50" w:rsidRPr="007671D6" w:rsidRDefault="007671D6">
      <w:pPr>
        <w:rPr>
          <w:b/>
          <w:sz w:val="24"/>
          <w:szCs w:val="24"/>
        </w:rPr>
      </w:pPr>
      <w:r w:rsidRPr="007671D6">
        <w:rPr>
          <w:b/>
          <w:sz w:val="24"/>
          <w:szCs w:val="24"/>
        </w:rPr>
        <w:t>PRE-DISPOSING FACTORS OF EQUINE LAMENESS:</w:t>
      </w:r>
    </w:p>
    <w:p w:rsidR="007671D6" w:rsidRPr="007671D6" w:rsidRDefault="007671D6" w:rsidP="007671D6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Factors that predispose horses to lameness include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physical immaturity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, which may occur in premature or </w:t>
      </w:r>
      <w:proofErr w:type="spellStart"/>
      <w:r w:rsidRPr="007671D6">
        <w:rPr>
          <w:rFonts w:asciiTheme="minorHAnsi" w:hAnsiTheme="minorHAnsi" w:cs="Arial"/>
          <w:color w:val="000000"/>
          <w:sz w:val="22"/>
          <w:szCs w:val="22"/>
        </w:rPr>
        <w:t>dysmature</w:t>
      </w:r>
      <w:proofErr w:type="spellEnd"/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foals, and training older foals before maturity. </w:t>
      </w:r>
      <w:r>
        <w:rPr>
          <w:rFonts w:asciiTheme="minorHAnsi" w:hAnsiTheme="minorHAnsi" w:cs="Arial"/>
          <w:color w:val="000000"/>
          <w:sz w:val="22"/>
          <w:szCs w:val="22"/>
        </w:rPr>
        <w:t>This is especially observed in horses with genetic conditions.</w:t>
      </w:r>
    </w:p>
    <w:p w:rsidR="007671D6" w:rsidRPr="007671D6" w:rsidRDefault="007671D6" w:rsidP="007671D6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Other factors include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preexisting developmental orthopedic disease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proofErr w:type="spellStart"/>
      <w:r w:rsidRPr="007671D6">
        <w:rPr>
          <w:rFonts w:asciiTheme="minorHAnsi" w:hAnsiTheme="minorHAnsi" w:cs="Arial"/>
          <w:color w:val="000000"/>
          <w:sz w:val="22"/>
          <w:szCs w:val="22"/>
        </w:rPr>
        <w:t>eg</w:t>
      </w:r>
      <w:proofErr w:type="spellEnd"/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7671D6">
        <w:rPr>
          <w:rFonts w:asciiTheme="minorHAnsi" w:hAnsiTheme="minorHAnsi" w:cs="Arial"/>
          <w:color w:val="000000"/>
          <w:sz w:val="22"/>
          <w:szCs w:val="22"/>
        </w:rPr>
        <w:t>osteochondrosis</w:t>
      </w:r>
      <w:proofErr w:type="spellEnd"/>
      <w:r w:rsidRPr="007671D6">
        <w:rPr>
          <w:rFonts w:asciiTheme="minorHAnsi" w:hAnsiTheme="minorHAnsi" w:cs="Arial"/>
          <w:color w:val="000000"/>
          <w:sz w:val="22"/>
          <w:szCs w:val="22"/>
        </w:rPr>
        <w:t>, flexural limb and angular limb deformities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); poor conformation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;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improper hoof balance or shoeing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;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failure to adequately condition performance horses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;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monotonous repetitive stresses on bones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tendons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ligaments, and joints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in performance horses;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hard, slippery, or rocky surfaces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upon which horses work;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and extremely athletic activities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7671D6" w:rsidRPr="007671D6" w:rsidRDefault="007671D6" w:rsidP="007671D6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Inciting factors in lameness include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direct or indirect trauma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fatigue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resulting in </w:t>
      </w:r>
      <w:proofErr w:type="spellStart"/>
      <w:r w:rsidRPr="007671D6">
        <w:rPr>
          <w:rFonts w:asciiTheme="minorHAnsi" w:hAnsiTheme="minorHAnsi" w:cs="Arial"/>
          <w:color w:val="000000"/>
          <w:sz w:val="22"/>
          <w:szCs w:val="22"/>
        </w:rPr>
        <w:t>incoordination</w:t>
      </w:r>
      <w:proofErr w:type="spellEnd"/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of muscles (which often occurs in racehorses at the end of races),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inflammation,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>i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nfection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>, and failure to recognize early disease before it creates significant pain.</w:t>
      </w:r>
    </w:p>
    <w:p w:rsidR="007671D6" w:rsidRPr="007671D6" w:rsidRDefault="007671D6" w:rsidP="007671D6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inorHAnsi" w:hAnsiTheme="minorHAnsi" w:cs="Arial"/>
          <w:color w:val="000000"/>
          <w:sz w:val="22"/>
          <w:szCs w:val="22"/>
        </w:rPr>
      </w:pPr>
      <w:bookmarkStart w:id="0" w:name="v3284201"/>
      <w:bookmarkEnd w:id="0"/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Lameness in one part of a limb often results in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secondary soreness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in another area of the same limb and may result in lameness of the </w:t>
      </w:r>
      <w:proofErr w:type="spellStart"/>
      <w:r w:rsidRPr="007671D6">
        <w:rPr>
          <w:rFonts w:asciiTheme="minorHAnsi" w:hAnsiTheme="minorHAnsi" w:cs="Arial"/>
          <w:color w:val="000000"/>
          <w:sz w:val="22"/>
          <w:szCs w:val="22"/>
        </w:rPr>
        <w:t>contralateral</w:t>
      </w:r>
      <w:proofErr w:type="spellEnd"/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forelimb or </w:t>
      </w:r>
      <w:proofErr w:type="spellStart"/>
      <w:r w:rsidRPr="007671D6">
        <w:rPr>
          <w:rFonts w:asciiTheme="minorHAnsi" w:hAnsiTheme="minorHAnsi" w:cs="Arial"/>
          <w:color w:val="000000"/>
          <w:sz w:val="22"/>
          <w:szCs w:val="22"/>
        </w:rPr>
        <w:t>hindlimb</w:t>
      </w:r>
      <w:proofErr w:type="spellEnd"/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from </w:t>
      </w:r>
      <w:r w:rsidRPr="007671D6">
        <w:rPr>
          <w:rFonts w:asciiTheme="minorHAnsi" w:hAnsiTheme="minorHAnsi" w:cs="Arial"/>
          <w:color w:val="000000"/>
          <w:sz w:val="22"/>
          <w:szCs w:val="22"/>
          <w:u w:val="single"/>
        </w:rPr>
        <w:t>overuse due to compensation</w:t>
      </w: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. The entire horse should be evaluated for secondary lameness even when the cause of the primary problem is obvious. </w:t>
      </w:r>
    </w:p>
    <w:p w:rsidR="007671D6" w:rsidRPr="007671D6" w:rsidRDefault="007671D6" w:rsidP="007671D6">
      <w:pPr>
        <w:pStyle w:val="mmpara"/>
        <w:shd w:val="clear" w:color="auto" w:fill="FFFFFF"/>
        <w:spacing w:before="0" w:beforeAutospacing="0" w:after="288" w:afterAutospacing="0" w:line="33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Secondary </w:t>
      </w:r>
      <w:proofErr w:type="spellStart"/>
      <w:r w:rsidRPr="007671D6">
        <w:rPr>
          <w:rFonts w:asciiTheme="minorHAnsi" w:hAnsiTheme="minorHAnsi" w:cs="Arial"/>
          <w:color w:val="000000"/>
          <w:sz w:val="22"/>
          <w:szCs w:val="22"/>
        </w:rPr>
        <w:t>lamenesses</w:t>
      </w:r>
      <w:proofErr w:type="spellEnd"/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are very common in performance horses but may occur in all types of horses. A dramatic example of a secondary lameness occurs when biomechanical laminitis develops in the normal </w:t>
      </w:r>
      <w:proofErr w:type="spellStart"/>
      <w:r w:rsidRPr="007671D6">
        <w:rPr>
          <w:rFonts w:asciiTheme="minorHAnsi" w:hAnsiTheme="minorHAnsi" w:cs="Arial"/>
          <w:color w:val="000000"/>
          <w:sz w:val="22"/>
          <w:szCs w:val="22"/>
        </w:rPr>
        <w:t>contralateral</w:t>
      </w:r>
      <w:proofErr w:type="spellEnd"/>
      <w:r w:rsidRPr="007671D6">
        <w:rPr>
          <w:rFonts w:asciiTheme="minorHAnsi" w:hAnsiTheme="minorHAnsi" w:cs="Arial"/>
          <w:color w:val="000000"/>
          <w:sz w:val="22"/>
          <w:szCs w:val="22"/>
        </w:rPr>
        <w:t xml:space="preserve"> limb of a horse with limited weight bearing from a severe orthopedic problem causing shifting of weight from the injured limb to the normal limb.</w:t>
      </w:r>
    </w:p>
    <w:p w:rsidR="007671D6" w:rsidRDefault="007671D6"/>
    <w:sectPr w:rsidR="007671D6" w:rsidSect="0009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1D6"/>
    <w:rsid w:val="00091A50"/>
    <w:rsid w:val="007671D6"/>
    <w:rsid w:val="007C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para">
    <w:name w:val="mmpara"/>
    <w:basedOn w:val="Normal"/>
    <w:rsid w:val="0076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1</cp:revision>
  <dcterms:created xsi:type="dcterms:W3CDTF">2016-10-09T19:39:00Z</dcterms:created>
  <dcterms:modified xsi:type="dcterms:W3CDTF">2016-10-09T20:11:00Z</dcterms:modified>
</cp:coreProperties>
</file>