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B4" w:rsidRPr="008A34DF" w:rsidRDefault="00E179B4" w:rsidP="00E179B4">
      <w:pPr>
        <w:rPr>
          <w:rFonts w:cstheme="minorHAnsi"/>
          <w:b/>
        </w:rPr>
      </w:pPr>
      <w:r w:rsidRPr="008A34DF">
        <w:rPr>
          <w:rFonts w:cstheme="minorHAnsi"/>
          <w:b/>
        </w:rPr>
        <w:t>DRUGS-</w:t>
      </w:r>
    </w:p>
    <w:p w:rsidR="00E179B4" w:rsidRPr="008A34DF" w:rsidRDefault="00E179B4" w:rsidP="00E179B4">
      <w:pPr>
        <w:rPr>
          <w:b/>
        </w:rPr>
      </w:pPr>
      <w:r w:rsidRPr="008A34DF">
        <w:rPr>
          <w:b/>
        </w:rPr>
        <w:t xml:space="preserve">Antibiotics </w:t>
      </w:r>
    </w:p>
    <w:p w:rsidR="00E179B4" w:rsidRPr="008A34DF" w:rsidRDefault="00E179B4" w:rsidP="008A34DF">
      <w:pPr>
        <w:pStyle w:val="ListParagraph"/>
        <w:rPr>
          <w:b/>
        </w:rPr>
      </w:pPr>
      <w:r w:rsidRPr="008A34DF">
        <w:rPr>
          <w:b/>
        </w:rPr>
        <w:t>Gentamycin 100</w:t>
      </w:r>
    </w:p>
    <w:p w:rsidR="00E179B4" w:rsidRDefault="00E179B4" w:rsidP="00E179B4">
      <w:pPr>
        <w:pStyle w:val="ListParagraph"/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179B4" w:rsidRDefault="00E179B4" w:rsidP="00E179B4">
      <w:pPr>
        <w:pStyle w:val="ListParagraph"/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 wp14:anchorId="490C421E" wp14:editId="765142ED">
            <wp:extent cx="3524250" cy="2647950"/>
            <wp:effectExtent l="0" t="0" r="0" b="0"/>
            <wp:docPr id="27" name="Picture 27" descr="Image result for gentamicin pharmacolog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 result for gentamicin pharmacolog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B4" w:rsidRDefault="00E179B4" w:rsidP="00E179B4">
      <w:pPr>
        <w:pStyle w:val="ListParagraph"/>
      </w:pPr>
    </w:p>
    <w:p w:rsidR="00E179B4" w:rsidRDefault="00E179B4" w:rsidP="00E179B4">
      <w:pPr>
        <w:pStyle w:val="ListParagraph"/>
      </w:pPr>
    </w:p>
    <w:p w:rsidR="00E179B4" w:rsidRDefault="00E179B4" w:rsidP="008A34DF">
      <w:pPr>
        <w:pStyle w:val="ListParagraph"/>
      </w:pPr>
      <w:r w:rsidRPr="008A34DF">
        <w:rPr>
          <w:b/>
        </w:rPr>
        <w:t>Amoxicillin</w:t>
      </w:r>
      <w:r>
        <w:t xml:space="preserve"> is an extended spectrum penicillin group pf antibiotics it is active against many gram positive </w:t>
      </w:r>
      <w:proofErr w:type="gramStart"/>
      <w:r>
        <w:t>and  gram</w:t>
      </w:r>
      <w:proofErr w:type="gramEnd"/>
      <w:r>
        <w:t xml:space="preserve"> negative bacteria. </w:t>
      </w:r>
      <w:proofErr w:type="spellStart"/>
      <w:r>
        <w:t>Amoxillin</w:t>
      </w:r>
      <w:proofErr w:type="spellEnd"/>
      <w:r>
        <w:t xml:space="preserve"> acts by inhibiting bacterial cell wall. Lack of bacteria cell wall results in death due to lysis of bacteria</w:t>
      </w:r>
      <w:r w:rsidR="008A34DF">
        <w:t>.</w:t>
      </w:r>
    </w:p>
    <w:p w:rsidR="00E179B4" w:rsidRDefault="00E179B4" w:rsidP="00E179B4">
      <w:pPr>
        <w:ind w:left="360"/>
      </w:pPr>
      <w:r>
        <w:t xml:space="preserve"> </w:t>
      </w:r>
    </w:p>
    <w:p w:rsidR="00E179B4" w:rsidRDefault="00E179B4" w:rsidP="00E179B4">
      <w:pPr>
        <w:pStyle w:val="ListParagraph"/>
      </w:pPr>
      <w:r>
        <w:rPr>
          <w:rFonts w:ascii="Arial" w:hAnsi="Arial" w:cs="Arial"/>
          <w:color w:val="FFFFFF"/>
          <w:sz w:val="23"/>
          <w:szCs w:val="23"/>
        </w:rPr>
        <w:t>Amoxicillin acts by inhibiting bacterial cell wall synthesis. Lack of bacterial cell wall results in death due to lysis of.</w:t>
      </w:r>
    </w:p>
    <w:p w:rsidR="00E179B4" w:rsidRDefault="00E179B4" w:rsidP="00E179B4">
      <w:pPr>
        <w:pStyle w:val="ListParagraph"/>
        <w:numPr>
          <w:ilvl w:val="0"/>
          <w:numId w:val="1"/>
        </w:numPr>
      </w:pPr>
      <w:proofErr w:type="spellStart"/>
      <w:r w:rsidRPr="008A34DF">
        <w:rPr>
          <w:b/>
        </w:rPr>
        <w:t>Cefokel</w:t>
      </w:r>
      <w:proofErr w:type="spellEnd"/>
      <w:r w:rsidRPr="008A34DF">
        <w:rPr>
          <w:b/>
        </w:rPr>
        <w:t xml:space="preserve"> 50mg/ml </w:t>
      </w:r>
      <w:r>
        <w:t>suspension for injection</w:t>
      </w:r>
      <w:r w:rsidR="008A34DF">
        <w:t>.</w:t>
      </w:r>
    </w:p>
    <w:p w:rsidR="00E179B4" w:rsidRDefault="00E179B4" w:rsidP="00E179B4">
      <w:pPr>
        <w:pStyle w:val="ListParagraph"/>
      </w:pPr>
      <w:r>
        <w:rPr>
          <w:noProof/>
        </w:rPr>
        <w:drawing>
          <wp:inline distT="0" distB="0" distL="0" distR="0" wp14:anchorId="2681699F" wp14:editId="4DBDC56A">
            <wp:extent cx="3162300" cy="3162300"/>
            <wp:effectExtent l="0" t="0" r="0" b="0"/>
            <wp:docPr id="28" name="Picture 28" descr="CEFOKEL 50 MG/ML 100 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EFOKEL 50 MG/ML 100 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A34DF" w:rsidRDefault="008A34DF" w:rsidP="00E179B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E179B4" w:rsidRPr="0029253E" w:rsidRDefault="00E179B4" w:rsidP="00E179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9253E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Infections associated with ceftiofur-sensitive bacteria.</w:t>
      </w:r>
    </w:p>
    <w:p w:rsidR="00E179B4" w:rsidRPr="008A34DF" w:rsidRDefault="00E179B4" w:rsidP="00E179B4">
      <w:pPr>
        <w:pStyle w:val="NormalWeb"/>
        <w:shd w:val="clear" w:color="auto" w:fill="FFFFFF"/>
        <w:spacing w:before="0" w:beforeAutospacing="0" w:after="0" w:afterAutospacing="0"/>
      </w:pPr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Cattle:</w:t>
      </w:r>
      <w:r w:rsidRPr="008A34DF">
        <w:rPr>
          <w:rFonts w:asciiTheme="minorHAnsi" w:hAnsiTheme="minorHAnsi" w:cstheme="minorHAnsi"/>
          <w:sz w:val="22"/>
          <w:szCs w:val="22"/>
        </w:rPr>
        <w:t> </w:t>
      </w:r>
      <w:r w:rsidRPr="008A34DF">
        <w:rPr>
          <w:rFonts w:asciiTheme="minorHAnsi" w:hAnsiTheme="minorHAnsi" w:cstheme="minorHAnsi"/>
          <w:sz w:val="22"/>
          <w:szCs w:val="22"/>
        </w:rPr>
        <w:br/>
      </w:r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For the treatment of bacterial respiratory diseases associated</w:t>
      </w:r>
      <w:r w:rsid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with </w:t>
      </w:r>
      <w:proofErr w:type="spellStart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Mannheimia</w:t>
      </w:r>
      <w:proofErr w:type="spellEnd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haemolytica</w:t>
      </w:r>
      <w:proofErr w:type="spellEnd"/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 xml:space="preserve">Pasteurella </w:t>
      </w:r>
      <w:proofErr w:type="spellStart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multocida</w:t>
      </w:r>
      <w:proofErr w:type="spellEnd"/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 and </w:t>
      </w:r>
      <w:proofErr w:type="spellStart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Histophilus</w:t>
      </w:r>
      <w:proofErr w:type="spellEnd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Pr="008A34DF">
        <w:rPr>
          <w:rStyle w:val="Emphasis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somni</w:t>
      </w:r>
      <w:proofErr w:type="spellEnd"/>
      <w:r w:rsidRPr="008A34DF">
        <w:rPr>
          <w:rStyle w:val="notranslate"/>
          <w:rFonts w:asciiTheme="minorHAnsi" w:hAnsiTheme="minorHAnsi" w:cstheme="minorHAnsi"/>
          <w:sz w:val="22"/>
          <w:szCs w:val="22"/>
          <w:bdr w:val="none" w:sz="0" w:space="0" w:color="auto" w:frame="1"/>
        </w:rPr>
        <w:t> .</w:t>
      </w:r>
      <w:proofErr w:type="gramEnd"/>
    </w:p>
    <w:p w:rsidR="00E179B4" w:rsidRPr="008A34DF" w:rsidRDefault="00E179B4" w:rsidP="00E179B4">
      <w:pPr>
        <w:pStyle w:val="ListParagraph"/>
      </w:pPr>
    </w:p>
    <w:p w:rsidR="00E179B4" w:rsidRPr="0029253E" w:rsidRDefault="00E179B4" w:rsidP="008A34DF">
      <w:proofErr w:type="spellStart"/>
      <w:r w:rsidRPr="008A34DF">
        <w:rPr>
          <w:b/>
        </w:rPr>
        <w:t>Combikel</w:t>
      </w:r>
      <w:proofErr w:type="spellEnd"/>
      <w:r w:rsidRPr="008A34DF">
        <w:rPr>
          <w:b/>
        </w:rPr>
        <w:t xml:space="preserve"> 40 L.A-</w:t>
      </w:r>
      <w:r>
        <w:t xml:space="preserve"> a</w:t>
      </w:r>
      <w:r w:rsidRPr="008A34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TT"/>
        </w:rPr>
        <w:t> </w:t>
      </w:r>
      <w:r w:rsidRPr="008A34DF">
        <w:rPr>
          <w:rFonts w:ascii="Tahoma" w:eastAsia="Times New Roman" w:hAnsi="Tahoma" w:cs="Tahoma"/>
          <w:bCs/>
          <w:color w:val="000000"/>
          <w:sz w:val="20"/>
          <w:szCs w:val="20"/>
          <w:lang w:eastAsia="en-TT"/>
        </w:rPr>
        <w:t>combination of DHS and penicillin</w:t>
      </w:r>
      <w:r w:rsidRPr="008A34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TT"/>
        </w:rPr>
        <w:t> </w:t>
      </w:r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>provides a bactericidal synergistic action with a broad spectrum.</w:t>
      </w:r>
      <w:r w:rsidR="008A34DF"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 xml:space="preserve"> </w:t>
      </w:r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 xml:space="preserve">Prevention and treatment of infections caused by penicillin G and/or DHS susceptible microorganisms such as respiratory tract infections (shipping fever, </w:t>
      </w:r>
      <w:proofErr w:type="spellStart"/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>bronchopneumonias</w:t>
      </w:r>
      <w:proofErr w:type="spellEnd"/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 xml:space="preserve">, upper respiratory tract infections), </w:t>
      </w:r>
      <w:proofErr w:type="spellStart"/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>uro</w:t>
      </w:r>
      <w:proofErr w:type="spellEnd"/>
      <w:r w:rsidRPr="008A34DF">
        <w:rPr>
          <w:rFonts w:ascii="Tahoma" w:eastAsia="Times New Roman" w:hAnsi="Tahoma" w:cs="Tahoma"/>
          <w:color w:val="000000"/>
          <w:sz w:val="20"/>
          <w:szCs w:val="20"/>
          <w:lang w:eastAsia="en-TT"/>
        </w:rPr>
        <w:t>-genital tract infections.</w:t>
      </w:r>
    </w:p>
    <w:p w:rsidR="00E179B4" w:rsidRDefault="00E179B4" w:rsidP="00E179B4">
      <w:pPr>
        <w:pStyle w:val="ListParagraph"/>
      </w:pPr>
    </w:p>
    <w:p w:rsidR="00E179B4" w:rsidRPr="00353F03" w:rsidRDefault="00E179B4" w:rsidP="008A34DF">
      <w:proofErr w:type="spellStart"/>
      <w:r w:rsidRPr="008A34DF">
        <w:rPr>
          <w:b/>
        </w:rPr>
        <w:t>Anflox</w:t>
      </w:r>
      <w:proofErr w:type="spellEnd"/>
      <w:r w:rsidRPr="008A34DF">
        <w:rPr>
          <w:b/>
        </w:rPr>
        <w:t xml:space="preserve"> 10% injection</w:t>
      </w:r>
      <w:r>
        <w:t xml:space="preserve">- </w:t>
      </w:r>
      <w:r w:rsidRPr="008A34DF">
        <w:rPr>
          <w:rFonts w:cstheme="minorHAnsi"/>
          <w:color w:val="0A0A0A"/>
          <w:shd w:val="clear" w:color="auto" w:fill="FFFFFF"/>
        </w:rPr>
        <w:t xml:space="preserve">Ofloxacin Belongs </w:t>
      </w:r>
      <w:proofErr w:type="gramStart"/>
      <w:r w:rsidRPr="008A34DF">
        <w:rPr>
          <w:rFonts w:cstheme="minorHAnsi"/>
          <w:color w:val="0A0A0A"/>
          <w:shd w:val="clear" w:color="auto" w:fill="FFFFFF"/>
        </w:rPr>
        <w:t>To</w:t>
      </w:r>
      <w:proofErr w:type="gramEnd"/>
      <w:r w:rsidRPr="008A34DF">
        <w:rPr>
          <w:rFonts w:cstheme="minorHAnsi"/>
          <w:color w:val="0A0A0A"/>
          <w:shd w:val="clear" w:color="auto" w:fill="FFFFFF"/>
        </w:rPr>
        <w:t xml:space="preserve"> The Group Of Medicines Called Fluoroquinolone Antibiotics. They Cure </w:t>
      </w:r>
      <w:proofErr w:type="gramStart"/>
      <w:r w:rsidRPr="008A34DF">
        <w:rPr>
          <w:rFonts w:cstheme="minorHAnsi"/>
          <w:color w:val="0A0A0A"/>
          <w:shd w:val="clear" w:color="auto" w:fill="FFFFFF"/>
        </w:rPr>
        <w:t>The</w:t>
      </w:r>
      <w:proofErr w:type="gramEnd"/>
      <w:r w:rsidRPr="008A34DF">
        <w:rPr>
          <w:rFonts w:cstheme="minorHAnsi"/>
          <w:color w:val="0A0A0A"/>
          <w:shd w:val="clear" w:color="auto" w:fill="FFFFFF"/>
        </w:rPr>
        <w:t xml:space="preserve"> Infection By Inhibiting The DNA Formation And Killing The Bacteria.</w:t>
      </w:r>
    </w:p>
    <w:p w:rsidR="00E179B4" w:rsidRPr="008A34DF" w:rsidRDefault="00E179B4" w:rsidP="008A34DF">
      <w:pPr>
        <w:rPr>
          <w:rFonts w:cstheme="minorHAnsi"/>
        </w:rPr>
      </w:pPr>
      <w:proofErr w:type="spellStart"/>
      <w:r w:rsidRPr="008A34DF">
        <w:rPr>
          <w:b/>
        </w:rPr>
        <w:t>Enroflox</w:t>
      </w:r>
      <w:proofErr w:type="spellEnd"/>
      <w:r w:rsidRPr="008A34DF">
        <w:rPr>
          <w:b/>
        </w:rPr>
        <w:t xml:space="preserve"> 8% [enrofloxacin</w:t>
      </w:r>
      <w:r>
        <w:t>]-</w:t>
      </w:r>
      <w:r w:rsidRPr="008A34DF">
        <w:rPr>
          <w:rFonts w:ascii="Segoe UI" w:hAnsi="Segoe UI" w:cs="Segoe UI"/>
          <w:color w:val="484848"/>
          <w:shd w:val="clear" w:color="auto" w:fill="FFFFFF"/>
        </w:rPr>
        <w:t xml:space="preserve"> </w:t>
      </w:r>
      <w:proofErr w:type="spellStart"/>
      <w:r w:rsidRPr="008A34DF">
        <w:rPr>
          <w:rFonts w:cstheme="minorHAnsi"/>
          <w:shd w:val="clear" w:color="auto" w:fill="FFFFFF"/>
        </w:rPr>
        <w:t>Enroflox</w:t>
      </w:r>
      <w:proofErr w:type="spellEnd"/>
      <w:r w:rsidRPr="008A34DF">
        <w:rPr>
          <w:rFonts w:cstheme="minorHAnsi"/>
          <w:shd w:val="clear" w:color="auto" w:fill="FFFFFF"/>
          <w:vertAlign w:val="superscript"/>
        </w:rPr>
        <w:t>®</w:t>
      </w:r>
      <w:r w:rsidRPr="008A34DF">
        <w:rPr>
          <w:rFonts w:cstheme="minorHAnsi"/>
          <w:shd w:val="clear" w:color="auto" w:fill="FFFFFF"/>
        </w:rPr>
        <w:t xml:space="preserve"> 100 is a sterile, ready-to-use injectable antimicrobial solution that contains enrofloxacin, a broad-spectrum fluoroquinolone antimicrobial agent. </w:t>
      </w:r>
      <w:proofErr w:type="spellStart"/>
      <w:r w:rsidRPr="008A34DF">
        <w:rPr>
          <w:rFonts w:cstheme="minorHAnsi"/>
          <w:shd w:val="clear" w:color="auto" w:fill="FFFFFF"/>
        </w:rPr>
        <w:t>Enroflox</w:t>
      </w:r>
      <w:proofErr w:type="spellEnd"/>
      <w:r w:rsidRPr="008A34DF">
        <w:rPr>
          <w:rFonts w:cstheme="minorHAnsi"/>
          <w:shd w:val="clear" w:color="auto" w:fill="FFFFFF"/>
        </w:rPr>
        <w:t xml:space="preserve"> 100 is indicated for the treatment of bovine respiratory disease (BRD) associated with </w:t>
      </w:r>
      <w:proofErr w:type="spellStart"/>
      <w:r w:rsidRPr="008A34DF">
        <w:rPr>
          <w:rFonts w:cstheme="minorHAnsi"/>
          <w:iCs/>
          <w:shd w:val="clear" w:color="auto" w:fill="FFFFFF"/>
        </w:rPr>
        <w:t>Mannheimia</w:t>
      </w:r>
      <w:proofErr w:type="spellEnd"/>
      <w:r w:rsidRPr="008A34DF">
        <w:rPr>
          <w:rFonts w:cstheme="minorHAnsi"/>
          <w:iCs/>
          <w:shd w:val="clear" w:color="auto" w:fill="FFFFFF"/>
        </w:rPr>
        <w:t xml:space="preserve"> </w:t>
      </w:r>
      <w:proofErr w:type="spellStart"/>
      <w:r w:rsidRPr="008A34DF">
        <w:rPr>
          <w:rFonts w:cstheme="minorHAnsi"/>
          <w:iCs/>
          <w:shd w:val="clear" w:color="auto" w:fill="FFFFFF"/>
        </w:rPr>
        <w:t>haemolytica</w:t>
      </w:r>
      <w:proofErr w:type="spellEnd"/>
      <w:r w:rsidRPr="008A34DF">
        <w:rPr>
          <w:rFonts w:cstheme="minorHAnsi"/>
          <w:iCs/>
          <w:shd w:val="clear" w:color="auto" w:fill="FFFFFF"/>
        </w:rPr>
        <w:t xml:space="preserve">, Pasteurella </w:t>
      </w:r>
      <w:proofErr w:type="spellStart"/>
      <w:r w:rsidRPr="008A34DF">
        <w:rPr>
          <w:rFonts w:cstheme="minorHAnsi"/>
          <w:iCs/>
          <w:shd w:val="clear" w:color="auto" w:fill="FFFFFF"/>
        </w:rPr>
        <w:t>multocida</w:t>
      </w:r>
      <w:proofErr w:type="spellEnd"/>
      <w:r w:rsidRPr="008A34DF">
        <w:rPr>
          <w:rFonts w:cstheme="minorHAnsi"/>
          <w:iCs/>
          <w:shd w:val="clear" w:color="auto" w:fill="FFFFFF"/>
        </w:rPr>
        <w:t xml:space="preserve">, </w:t>
      </w:r>
      <w:proofErr w:type="spellStart"/>
      <w:r w:rsidRPr="008A34DF">
        <w:rPr>
          <w:rFonts w:cstheme="minorHAnsi"/>
          <w:iCs/>
          <w:shd w:val="clear" w:color="auto" w:fill="FFFFFF"/>
        </w:rPr>
        <w:t>Histophilus</w:t>
      </w:r>
      <w:proofErr w:type="spellEnd"/>
      <w:r w:rsidRPr="008A34DF">
        <w:rPr>
          <w:rFonts w:cstheme="minorHAnsi"/>
          <w:iCs/>
          <w:shd w:val="clear" w:color="auto" w:fill="FFFFFF"/>
        </w:rPr>
        <w:t xml:space="preserve"> </w:t>
      </w:r>
      <w:proofErr w:type="spellStart"/>
      <w:r w:rsidRPr="008A34DF">
        <w:rPr>
          <w:rFonts w:cstheme="minorHAnsi"/>
          <w:iCs/>
          <w:shd w:val="clear" w:color="auto" w:fill="FFFFFF"/>
        </w:rPr>
        <w:t>somni</w:t>
      </w:r>
      <w:proofErr w:type="spellEnd"/>
      <w:r w:rsidRPr="008A34DF">
        <w:rPr>
          <w:rFonts w:cstheme="minorHAnsi"/>
          <w:shd w:val="clear" w:color="auto" w:fill="FFFFFF"/>
        </w:rPr>
        <w:t> and </w:t>
      </w:r>
      <w:r w:rsidRPr="008A34DF">
        <w:rPr>
          <w:rFonts w:cstheme="minorHAnsi"/>
          <w:iCs/>
          <w:shd w:val="clear" w:color="auto" w:fill="FFFFFF"/>
        </w:rPr>
        <w:t xml:space="preserve">Mycoplasma </w:t>
      </w:r>
      <w:proofErr w:type="spellStart"/>
      <w:r w:rsidRPr="008A34DF">
        <w:rPr>
          <w:rFonts w:cstheme="minorHAnsi"/>
          <w:iCs/>
          <w:shd w:val="clear" w:color="auto" w:fill="FFFFFF"/>
        </w:rPr>
        <w:t>bovis</w:t>
      </w:r>
      <w:proofErr w:type="spellEnd"/>
      <w:r w:rsidRPr="008A34DF">
        <w:rPr>
          <w:rFonts w:cstheme="minorHAnsi"/>
          <w:shd w:val="clear" w:color="auto" w:fill="FFFFFF"/>
        </w:rPr>
        <w:t> in beef and non-lactating dairy cattle.</w:t>
      </w:r>
    </w:p>
    <w:p w:rsidR="00E179B4" w:rsidRPr="001E4590" w:rsidRDefault="00E179B4" w:rsidP="00E179B4">
      <w:pPr>
        <w:pStyle w:val="ListParagraph"/>
      </w:pPr>
    </w:p>
    <w:p w:rsidR="00E179B4" w:rsidRPr="008A34DF" w:rsidRDefault="00E179B4" w:rsidP="008A34DF">
      <w:pPr>
        <w:rPr>
          <w:b/>
        </w:rPr>
      </w:pPr>
      <w:proofErr w:type="spellStart"/>
      <w:r w:rsidRPr="008A34DF">
        <w:rPr>
          <w:b/>
        </w:rPr>
        <w:t>Oxytet</w:t>
      </w:r>
      <w:proofErr w:type="spellEnd"/>
      <w:r w:rsidRPr="008A34DF">
        <w:rPr>
          <w:b/>
        </w:rPr>
        <w:t xml:space="preserve"> LA- 19%</w:t>
      </w:r>
      <w:r w:rsidR="008A34DF">
        <w:rPr>
          <w:b/>
        </w:rPr>
        <w:t>-</w:t>
      </w:r>
      <w:r w:rsidRPr="008A34DF">
        <w:rPr>
          <w:rFonts w:cstheme="minorHAnsi"/>
          <w:shd w:val="clear" w:color="auto" w:fill="FFFFFF"/>
        </w:rPr>
        <w:t>Oxytetracycline is effective against a wide range of gram-negative and gram-positive organisms that are pathogenic for cattle. The antibiotic is primarily bacteriostatic in effect, and is believed to exert its antimicrobial action by the inhibition of microbial protein synthesis.</w:t>
      </w:r>
    </w:p>
    <w:p w:rsidR="00E179B4" w:rsidRPr="001E4590" w:rsidRDefault="00E179B4" w:rsidP="00E179B4">
      <w:pPr>
        <w:pStyle w:val="ListParagraph"/>
        <w:rPr>
          <w:rFonts w:cstheme="minorHAnsi"/>
        </w:rPr>
      </w:pPr>
    </w:p>
    <w:p w:rsidR="00E179B4" w:rsidRPr="008A34DF" w:rsidRDefault="00E179B4" w:rsidP="008A34DF">
      <w:pPr>
        <w:rPr>
          <w:b/>
        </w:rPr>
      </w:pPr>
      <w:proofErr w:type="spellStart"/>
      <w:r w:rsidRPr="008A34DF">
        <w:rPr>
          <w:b/>
        </w:rPr>
        <w:t>Anupco</w:t>
      </w:r>
      <w:proofErr w:type="spellEnd"/>
      <w:r w:rsidRPr="008A34DF">
        <w:rPr>
          <w:b/>
        </w:rPr>
        <w:t xml:space="preserve">: Amoxycillin 150 LA </w:t>
      </w:r>
      <w:r w:rsidR="008A34DF">
        <w:rPr>
          <w:b/>
        </w:rPr>
        <w:t>-</w:t>
      </w:r>
      <w:r w:rsidRPr="001E4590">
        <w:t>Amoxycillin is a semi-synthetic broad-spectrum penicillin. It inhibits the peptidoglycan synthesis in the bacterial cell wall. Amoxycillin shows a bactericidal effect in a wide range of Gram-positive and Gram-negative bacteria. </w:t>
      </w:r>
      <w:r w:rsidRPr="001E4590">
        <w:rPr>
          <w:rStyle w:val="Emphasis"/>
        </w:rPr>
        <w:t>Pseudomonas</w:t>
      </w:r>
      <w:r w:rsidRPr="001E4590">
        <w:t>, </w:t>
      </w:r>
      <w:proofErr w:type="spellStart"/>
      <w:r w:rsidRPr="001E4590">
        <w:rPr>
          <w:rStyle w:val="Emphasis"/>
        </w:rPr>
        <w:t>Klebsiella</w:t>
      </w:r>
      <w:proofErr w:type="spellEnd"/>
      <w:r w:rsidRPr="001E4590">
        <w:t>, most </w:t>
      </w:r>
      <w:r w:rsidRPr="001E4590">
        <w:rPr>
          <w:rStyle w:val="Emphasis"/>
        </w:rPr>
        <w:t>Proteus</w:t>
      </w:r>
      <w:r w:rsidRPr="001E4590">
        <w:t xml:space="preserve"> types and penicillinase-forming Staphylococci are resistant. With E. </w:t>
      </w:r>
      <w:proofErr w:type="gramStart"/>
      <w:r w:rsidRPr="001E4590">
        <w:t>coli</w:t>
      </w:r>
      <w:proofErr w:type="gramEnd"/>
      <w:r w:rsidRPr="001E4590">
        <w:t xml:space="preserve"> there is also a high level of resistance.</w:t>
      </w:r>
    </w:p>
    <w:p w:rsidR="00E179B4" w:rsidRDefault="00E179B4" w:rsidP="00E179B4">
      <w:pPr>
        <w:pStyle w:val="ListParagraph"/>
      </w:pPr>
    </w:p>
    <w:p w:rsidR="00E179B4" w:rsidRPr="008A34DF" w:rsidRDefault="008A34DF" w:rsidP="008A34DF">
      <w:pPr>
        <w:rPr>
          <w:b/>
        </w:rPr>
      </w:pPr>
      <w:proofErr w:type="spellStart"/>
      <w:r>
        <w:rPr>
          <w:b/>
        </w:rPr>
        <w:t>A</w:t>
      </w:r>
      <w:r w:rsidR="00E179B4" w:rsidRPr="008A34DF">
        <w:rPr>
          <w:b/>
        </w:rPr>
        <w:t>nupco</w:t>
      </w:r>
      <w:proofErr w:type="spellEnd"/>
      <w:r w:rsidR="00E179B4" w:rsidRPr="008A34DF">
        <w:rPr>
          <w:b/>
        </w:rPr>
        <w:t>: Tylosin 200</w:t>
      </w:r>
      <w:r w:rsidR="00E179B4" w:rsidRPr="000341BF">
        <w:t xml:space="preserve">Tylosin is a macrolide antibiotic, mainly active against Gram-positive bacteria and mycoplasmas. It is also active against some Gram-negative bacteria, </w:t>
      </w:r>
      <w:proofErr w:type="spellStart"/>
      <w:r w:rsidR="00E179B4" w:rsidRPr="000341BF">
        <w:t>spriochetes</w:t>
      </w:r>
      <w:proofErr w:type="spellEnd"/>
      <w:r w:rsidR="00E179B4" w:rsidRPr="000341BF">
        <w:t xml:space="preserve">, some rickettsia and chlamydia. At commonly recommended doses, </w:t>
      </w:r>
      <w:proofErr w:type="spellStart"/>
      <w:r w:rsidR="00E179B4" w:rsidRPr="000341BF">
        <w:t>tylosin</w:t>
      </w:r>
      <w:proofErr w:type="spellEnd"/>
      <w:r w:rsidR="00E179B4" w:rsidRPr="000341BF">
        <w:t xml:space="preserve"> acts </w:t>
      </w:r>
      <w:proofErr w:type="spellStart"/>
      <w:r w:rsidR="00E179B4" w:rsidRPr="000341BF">
        <w:t>bacteriostatically</w:t>
      </w:r>
      <w:proofErr w:type="spellEnd"/>
      <w:r w:rsidR="00E179B4" w:rsidRPr="000341BF">
        <w:t>. It inhibits protein synthesis of susceptible micro-organisms by binding to subunits of the 50-S ribosome and by inhibition of the translocation step.</w:t>
      </w:r>
    </w:p>
    <w:p w:rsidR="00E179B4" w:rsidRDefault="00E179B4" w:rsidP="00E179B4">
      <w:bookmarkStart w:id="0" w:name="_GoBack"/>
      <w:bookmarkEnd w:id="0"/>
    </w:p>
    <w:sectPr w:rsidR="00E17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0889"/>
    <w:multiLevelType w:val="hybridMultilevel"/>
    <w:tmpl w:val="5CA47B9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344"/>
    <w:multiLevelType w:val="hybridMultilevel"/>
    <w:tmpl w:val="604C9F8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2A83"/>
    <w:multiLevelType w:val="hybridMultilevel"/>
    <w:tmpl w:val="529CB69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B4"/>
    <w:rsid w:val="00501F26"/>
    <w:rsid w:val="008A34DF"/>
    <w:rsid w:val="00D3094F"/>
    <w:rsid w:val="00E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62A6"/>
  <w15:chartTrackingRefBased/>
  <w15:docId w15:val="{E3E9FAE4-77BD-4E1E-BEBD-E58F766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ListParagraph">
    <w:name w:val="List Paragraph"/>
    <w:basedOn w:val="Normal"/>
    <w:uiPriority w:val="34"/>
    <w:qFormat/>
    <w:rsid w:val="00E179B4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79B4"/>
    <w:rPr>
      <w:b/>
      <w:bCs/>
    </w:rPr>
  </w:style>
  <w:style w:type="character" w:customStyle="1" w:styleId="notranslate">
    <w:name w:val="notranslate"/>
    <w:basedOn w:val="DefaultParagraphFont"/>
    <w:rsid w:val="00E179B4"/>
  </w:style>
  <w:style w:type="character" w:styleId="Emphasis">
    <w:name w:val="Emphasis"/>
    <w:basedOn w:val="DefaultParagraphFont"/>
    <w:uiPriority w:val="20"/>
    <w:qFormat/>
    <w:rsid w:val="00E179B4"/>
    <w:rPr>
      <w:i/>
      <w:iCs/>
    </w:rPr>
  </w:style>
  <w:style w:type="paragraph" w:styleId="NoSpacing">
    <w:name w:val="No Spacing"/>
    <w:uiPriority w:val="1"/>
    <w:qFormat/>
    <w:rsid w:val="00E17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lideshare.net/kevfrost/gentamicin-and-the-yorkshirehartford-regim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2017-09-09T22:15:00Z</dcterms:created>
  <dcterms:modified xsi:type="dcterms:W3CDTF">2017-09-09T22:15:00Z</dcterms:modified>
</cp:coreProperties>
</file>