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967"/>
        <w:gridCol w:w="2042"/>
        <w:gridCol w:w="2070"/>
      </w:tblGrid>
      <w:tr w:rsidR="00A11E02" w:rsidRPr="00BB7BC1" w:rsidTr="00817B9B">
        <w:trPr>
          <w:trHeight w:val="440"/>
        </w:trPr>
        <w:tc>
          <w:tcPr>
            <w:tcW w:w="2318" w:type="dxa"/>
            <w:shd w:val="clear" w:color="auto" w:fill="FFC000" w:themeFill="accent4"/>
          </w:tcPr>
          <w:p w:rsidR="00BB7BC1" w:rsidRPr="00BB7BC1" w:rsidRDefault="00BB7BC1" w:rsidP="00BB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C1">
              <w:rPr>
                <w:rFonts w:ascii="Times New Roman" w:hAnsi="Times New Roman" w:cs="Times New Roman"/>
                <w:b/>
                <w:sz w:val="24"/>
                <w:szCs w:val="24"/>
              </w:rPr>
              <w:t>Drug</w:t>
            </w:r>
          </w:p>
        </w:tc>
        <w:tc>
          <w:tcPr>
            <w:tcW w:w="3077" w:type="dxa"/>
            <w:shd w:val="clear" w:color="auto" w:fill="FFC000" w:themeFill="accent4"/>
          </w:tcPr>
          <w:p w:rsidR="00BB7BC1" w:rsidRPr="00BB7BC1" w:rsidRDefault="00BB7BC1" w:rsidP="00BB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</w:tc>
        <w:tc>
          <w:tcPr>
            <w:tcW w:w="2070" w:type="dxa"/>
            <w:shd w:val="clear" w:color="auto" w:fill="FFC000" w:themeFill="accent4"/>
          </w:tcPr>
          <w:p w:rsidR="00BB7BC1" w:rsidRPr="00BB7BC1" w:rsidRDefault="00BB7BC1" w:rsidP="00BB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Dosage</w:t>
            </w:r>
            <w:r w:rsidR="0081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Route of Delivery</w:t>
            </w:r>
          </w:p>
        </w:tc>
        <w:tc>
          <w:tcPr>
            <w:tcW w:w="1809" w:type="dxa"/>
            <w:shd w:val="clear" w:color="auto" w:fill="FFC000" w:themeFill="accent4"/>
          </w:tcPr>
          <w:p w:rsidR="00BB7BC1" w:rsidRPr="00BB7BC1" w:rsidRDefault="00BB7BC1" w:rsidP="00BB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Contraindications</w:t>
            </w:r>
          </w:p>
        </w:tc>
      </w:tr>
      <w:tr w:rsidR="00F65522" w:rsidRPr="00BB7BC1" w:rsidTr="00817B9B">
        <w:trPr>
          <w:trHeight w:val="613"/>
        </w:trPr>
        <w:tc>
          <w:tcPr>
            <w:tcW w:w="2318" w:type="dxa"/>
          </w:tcPr>
          <w:p w:rsidR="00BB7BC1" w:rsidRPr="00BB7BC1" w:rsidRDefault="00BB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Bicarbonate</w:t>
            </w:r>
          </w:p>
        </w:tc>
        <w:tc>
          <w:tcPr>
            <w:tcW w:w="3077" w:type="dxa"/>
          </w:tcPr>
          <w:p w:rsidR="00BB7BC1" w:rsidRPr="00BB7BC1" w:rsidRDefault="00BB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an antacid to help treat acidosis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due to respiratory retention of carbon dioxide, metabolic disorders and retention of hydrogen ions in the kidneys</w:t>
            </w:r>
          </w:p>
        </w:tc>
        <w:tc>
          <w:tcPr>
            <w:tcW w:w="2070" w:type="dxa"/>
          </w:tcPr>
          <w:p w:rsidR="00BB7BC1" w:rsidRPr="00BB7BC1" w:rsidRDefault="008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Usually intravenously. Dosage depends on the condition and severity.</w:t>
            </w:r>
          </w:p>
        </w:tc>
        <w:tc>
          <w:tcPr>
            <w:tcW w:w="1809" w:type="dxa"/>
          </w:tcPr>
          <w:p w:rsidR="00BB7BC1" w:rsidRPr="00BB7BC1" w:rsidRDefault="00BB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Alkalosis, convulsions or congestive heart failure</w:t>
            </w:r>
          </w:p>
        </w:tc>
      </w:tr>
      <w:tr w:rsidR="00F65522" w:rsidRPr="00BB7BC1" w:rsidTr="00817B9B">
        <w:trPr>
          <w:trHeight w:val="649"/>
        </w:trPr>
        <w:tc>
          <w:tcPr>
            <w:tcW w:w="2318" w:type="dxa"/>
          </w:tcPr>
          <w:p w:rsidR="00BB7BC1" w:rsidRPr="00BB7BC1" w:rsidRDefault="008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Sterile Water</w:t>
            </w:r>
          </w:p>
        </w:tc>
        <w:tc>
          <w:tcPr>
            <w:tcW w:w="3077" w:type="dxa"/>
          </w:tcPr>
          <w:p w:rsidR="00BB7BC1" w:rsidRPr="00BB7BC1" w:rsidRDefault="008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as an additive to drugs for injection intravenously</w:t>
            </w:r>
          </w:p>
        </w:tc>
        <w:tc>
          <w:tcPr>
            <w:tcW w:w="2070" w:type="dxa"/>
          </w:tcPr>
          <w:p w:rsidR="00BB7BC1" w:rsidRPr="00BB7BC1" w:rsidRDefault="008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Intravenously with other drugs.</w:t>
            </w:r>
          </w:p>
        </w:tc>
        <w:tc>
          <w:tcPr>
            <w:tcW w:w="1809" w:type="dxa"/>
          </w:tcPr>
          <w:p w:rsidR="00BB7BC1" w:rsidRPr="00BB7BC1" w:rsidRDefault="008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to being hypotonic to the body, it should not be given without the appropriate mixture to leave it isotonic to cells.</w:t>
            </w:r>
          </w:p>
        </w:tc>
      </w:tr>
      <w:tr w:rsidR="00F65522" w:rsidRPr="00BB7BC1" w:rsidTr="00817B9B">
        <w:trPr>
          <w:trHeight w:val="613"/>
        </w:trPr>
        <w:tc>
          <w:tcPr>
            <w:tcW w:w="2318" w:type="dxa"/>
          </w:tcPr>
          <w:p w:rsidR="00BB7BC1" w:rsidRPr="00BB7BC1" w:rsidRDefault="008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Neuromax</w:t>
            </w:r>
            <w:proofErr w:type="spellEnd"/>
            <w:r w:rsidR="00A11E02">
              <w:rPr>
                <w:rFonts w:ascii="Times New Roman" w:hAnsi="Times New Roman" w:cs="Times New Roman"/>
                <w:sz w:val="24"/>
                <w:szCs w:val="24"/>
              </w:rPr>
              <w:t xml:space="preserve"> 1.5%</w:t>
            </w:r>
          </w:p>
        </w:tc>
        <w:tc>
          <w:tcPr>
            <w:tcW w:w="3077" w:type="dxa"/>
          </w:tcPr>
          <w:p w:rsidR="00BB7BC1" w:rsidRPr="00BB7BC1" w:rsidRDefault="00A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to constrict nerves to prevent the transmission of signals.</w:t>
            </w:r>
          </w:p>
        </w:tc>
        <w:tc>
          <w:tcPr>
            <w:tcW w:w="2070" w:type="dxa"/>
          </w:tcPr>
          <w:p w:rsidR="00BB7BC1" w:rsidRPr="00BB7BC1" w:rsidRDefault="00A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Dosage depends on the nerve’s size that is being blocked. Given either subcutaneously or intramuscularly</w:t>
            </w:r>
          </w:p>
        </w:tc>
        <w:tc>
          <w:tcPr>
            <w:tcW w:w="1809" w:type="dxa"/>
          </w:tcPr>
          <w:p w:rsidR="00BB7BC1" w:rsidRPr="00BB7BC1" w:rsidRDefault="00BB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522" w:rsidRPr="00BB7BC1" w:rsidTr="00817B9B">
        <w:trPr>
          <w:trHeight w:val="649"/>
        </w:trPr>
        <w:tc>
          <w:tcPr>
            <w:tcW w:w="2318" w:type="dxa"/>
          </w:tcPr>
          <w:p w:rsidR="00BB7BC1" w:rsidRPr="00BB7BC1" w:rsidRDefault="00A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Flunixin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Meglumine</w:t>
            </w:r>
            <w:proofErr w:type="spellEnd"/>
            <w:r w:rsidR="00BC4948">
              <w:rPr>
                <w:rFonts w:ascii="Times New Roman" w:hAnsi="Times New Roman" w:cs="Times New Roman"/>
                <w:sz w:val="24"/>
                <w:szCs w:val="24"/>
              </w:rPr>
              <w:t xml:space="preserve"> (Injectable)</w:t>
            </w:r>
          </w:p>
        </w:tc>
        <w:tc>
          <w:tcPr>
            <w:tcW w:w="3077" w:type="dxa"/>
          </w:tcPr>
          <w:p w:rsidR="00BB7BC1" w:rsidRDefault="00A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horses, used to treat inflammation and pain due to musculoskeletal diseases, as well as swelling in colic.</w:t>
            </w:r>
          </w:p>
          <w:p w:rsidR="00A11E02" w:rsidRPr="00BB7BC1" w:rsidRDefault="00A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cows, used to treat pyrexia due to bovine re</w:t>
            </w:r>
            <w:r w:rsidR="00BC49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piratory disease, </w:t>
            </w:r>
            <w:r w:rsidR="00BC4948">
              <w:rPr>
                <w:rFonts w:ascii="Times New Roman" w:hAnsi="Times New Roman" w:cs="Times New Roman"/>
                <w:sz w:val="24"/>
                <w:szCs w:val="24"/>
              </w:rPr>
              <w:t>endotoxemia and acute mastitis. It also treats inflammation due to endotoxemia.</w:t>
            </w:r>
          </w:p>
        </w:tc>
        <w:tc>
          <w:tcPr>
            <w:tcW w:w="2070" w:type="dxa"/>
          </w:tcPr>
          <w:p w:rsidR="00BB7BC1" w:rsidRDefault="00BC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Cattle, 1.1-2.2 mg/kg either once a day or split into two doses via a slow intravenous drip.</w:t>
            </w:r>
          </w:p>
          <w:p w:rsidR="00BC4948" w:rsidRPr="00BB7BC1" w:rsidRDefault="00F6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Horses, 1.1 mg/kg once daily up to 5 days either intramuscular or intravenously</w:t>
            </w:r>
          </w:p>
        </w:tc>
        <w:tc>
          <w:tcPr>
            <w:tcW w:w="1809" w:type="dxa"/>
          </w:tcPr>
          <w:p w:rsidR="00BB7BC1" w:rsidRPr="00BB7BC1" w:rsidRDefault="00BC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a withdrawal time of 4 days in meat and 36 hours in milk for cattle. Not suitable for dry dairy cows.</w:t>
            </w:r>
          </w:p>
        </w:tc>
      </w:tr>
      <w:tr w:rsidR="00F65522" w:rsidRPr="00BB7BC1" w:rsidTr="00817B9B">
        <w:trPr>
          <w:trHeight w:val="613"/>
        </w:trPr>
        <w:tc>
          <w:tcPr>
            <w:tcW w:w="2318" w:type="dxa"/>
          </w:tcPr>
          <w:p w:rsidR="00BB7BC1" w:rsidRPr="00BB7BC1" w:rsidRDefault="00BC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Dexamethasone</w:t>
            </w:r>
          </w:p>
        </w:tc>
        <w:tc>
          <w:tcPr>
            <w:tcW w:w="3077" w:type="dxa"/>
          </w:tcPr>
          <w:p w:rsidR="00BB7BC1" w:rsidRPr="00BB7BC1" w:rsidRDefault="00F6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to decrease inflammatory and immune responses in horses.</w:t>
            </w:r>
          </w:p>
        </w:tc>
        <w:tc>
          <w:tcPr>
            <w:tcW w:w="2070" w:type="dxa"/>
          </w:tcPr>
          <w:p w:rsidR="00BB7BC1" w:rsidRPr="00BB7BC1" w:rsidRDefault="00F6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Intramuscularly at different doses depending on if the disease is an emergency or not.</w:t>
            </w:r>
          </w:p>
        </w:tc>
        <w:tc>
          <w:tcPr>
            <w:tcW w:w="1809" w:type="dxa"/>
          </w:tcPr>
          <w:p w:rsidR="00BB7BC1" w:rsidRPr="00BB7BC1" w:rsidRDefault="00F6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horses, horses with weakened immune system.</w:t>
            </w:r>
          </w:p>
        </w:tc>
      </w:tr>
      <w:tr w:rsidR="00F65522" w:rsidRPr="00BB7BC1" w:rsidTr="00817B9B">
        <w:trPr>
          <w:trHeight w:val="649"/>
        </w:trPr>
        <w:tc>
          <w:tcPr>
            <w:tcW w:w="2318" w:type="dxa"/>
          </w:tcPr>
          <w:p w:rsidR="00BB7BC1" w:rsidRPr="00BB7BC1" w:rsidRDefault="00BC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 Sulfate</w:t>
            </w:r>
          </w:p>
        </w:tc>
        <w:tc>
          <w:tcPr>
            <w:tcW w:w="3077" w:type="dxa"/>
          </w:tcPr>
          <w:p w:rsidR="00BB7BC1" w:rsidRPr="00BB7BC1" w:rsidRDefault="00F6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to </w:t>
            </w:r>
            <w:r w:rsidR="00957FAD">
              <w:rPr>
                <w:rFonts w:ascii="Times New Roman" w:hAnsi="Times New Roman" w:cs="Times New Roman"/>
                <w:sz w:val="24"/>
                <w:szCs w:val="24"/>
              </w:rPr>
              <w:t>reduce pain in the eye after a surgery on it. Also used to treat secondary forms of glaucoma</w:t>
            </w:r>
          </w:p>
        </w:tc>
        <w:tc>
          <w:tcPr>
            <w:tcW w:w="2070" w:type="dxa"/>
          </w:tcPr>
          <w:p w:rsidR="00BB7BC1" w:rsidRPr="00BB7BC1" w:rsidRDefault="0095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Topical administration to the eye</w:t>
            </w:r>
          </w:p>
        </w:tc>
        <w:tc>
          <w:tcPr>
            <w:tcW w:w="1809" w:type="dxa"/>
          </w:tcPr>
          <w:p w:rsidR="00BB7BC1" w:rsidRPr="00BB7BC1" w:rsidRDefault="0095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 with primary glaucoma. Animals suffering from anticholinergic poisoning.</w:t>
            </w:r>
          </w:p>
        </w:tc>
      </w:tr>
      <w:tr w:rsidR="000473DC" w:rsidRPr="00BB7BC1" w:rsidTr="00817B9B">
        <w:trPr>
          <w:trHeight w:val="649"/>
        </w:trPr>
        <w:tc>
          <w:tcPr>
            <w:tcW w:w="2318" w:type="dxa"/>
          </w:tcPr>
          <w:p w:rsidR="000473DC" w:rsidRDefault="0004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Heparin</w:t>
            </w:r>
          </w:p>
        </w:tc>
        <w:tc>
          <w:tcPr>
            <w:tcW w:w="3077" w:type="dxa"/>
          </w:tcPr>
          <w:p w:rsidR="000473DC" w:rsidRDefault="0004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to treat clotting disorders that cause increased clotting.</w:t>
            </w:r>
          </w:p>
        </w:tc>
        <w:tc>
          <w:tcPr>
            <w:tcW w:w="2070" w:type="dxa"/>
          </w:tcPr>
          <w:p w:rsidR="000473DC" w:rsidRDefault="0004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Dosage varies depending on each individual animal reaction to it. Monitoring is required for proper usage. Given either subcutaneously or intravenously.</w:t>
            </w:r>
          </w:p>
        </w:tc>
        <w:tc>
          <w:tcPr>
            <w:tcW w:w="1809" w:type="dxa"/>
          </w:tcPr>
          <w:p w:rsidR="000473DC" w:rsidRDefault="0004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interact with drugs such as NSAIDS, aspirin and warfarin. Can also interact with corticosteroids, insulin and ACTH.</w:t>
            </w:r>
            <w:bookmarkStart w:id="0" w:name="_GoBack"/>
            <w:bookmarkEnd w:id="0"/>
          </w:p>
        </w:tc>
      </w:tr>
      <w:tr w:rsidR="00F65522" w:rsidRPr="00BB7BC1" w:rsidTr="00817B9B">
        <w:trPr>
          <w:trHeight w:val="613"/>
        </w:trPr>
        <w:tc>
          <w:tcPr>
            <w:tcW w:w="2318" w:type="dxa"/>
          </w:tcPr>
          <w:p w:rsidR="00BB7BC1" w:rsidRPr="00BB7BC1" w:rsidRDefault="0095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Urolix</w:t>
            </w:r>
            <w:proofErr w:type="spellEnd"/>
          </w:p>
        </w:tc>
        <w:tc>
          <w:tcPr>
            <w:tcW w:w="3077" w:type="dxa"/>
          </w:tcPr>
          <w:p w:rsidR="00BB7BC1" w:rsidRPr="00BB7BC1" w:rsidRDefault="0095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as a rapid acting diuretic.</w:t>
            </w:r>
          </w:p>
        </w:tc>
        <w:tc>
          <w:tcPr>
            <w:tcW w:w="2070" w:type="dxa"/>
          </w:tcPr>
          <w:p w:rsidR="000473DC" w:rsidRDefault="0095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  <w:r w:rsidR="000473DC">
              <w:rPr>
                <w:rFonts w:ascii="Times New Roman" w:hAnsi="Times New Roman" w:cs="Times New Roman"/>
                <w:sz w:val="24"/>
                <w:szCs w:val="24"/>
              </w:rPr>
              <w:t xml:space="preserve"> and Horses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73DC">
              <w:rPr>
                <w:rFonts w:ascii="Times New Roman" w:hAnsi="Times New Roman" w:cs="Times New Roman"/>
                <w:sz w:val="24"/>
                <w:szCs w:val="24"/>
              </w:rPr>
              <w:t>1.5 mg/kg twice a day between 6 and 8 hours interval.</w:t>
            </w:r>
          </w:p>
          <w:p w:rsidR="00BB7BC1" w:rsidRPr="00BB7BC1" w:rsidRDefault="0004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Swine: 0.5 mg/kg</w:t>
            </w:r>
            <w:r w:rsidR="00957F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9" w:type="dxa"/>
          </w:tcPr>
          <w:p w:rsidR="00BB7BC1" w:rsidRPr="00BB7BC1" w:rsidRDefault="0095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Dehydrated animals. Meat and milk from animals should not be consumed after 48 hours of use.</w:t>
            </w:r>
          </w:p>
        </w:tc>
      </w:tr>
    </w:tbl>
    <w:p w:rsidR="00664038" w:rsidRPr="00BB7BC1" w:rsidRDefault="000473DC">
      <w:pPr>
        <w:rPr>
          <w:rFonts w:ascii="Times New Roman" w:hAnsi="Times New Roman" w:cs="Times New Roman"/>
          <w:sz w:val="24"/>
          <w:szCs w:val="24"/>
        </w:rPr>
      </w:pPr>
    </w:p>
    <w:sectPr w:rsidR="00664038" w:rsidRPr="00BB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C1"/>
    <w:rsid w:val="00036C14"/>
    <w:rsid w:val="000473DC"/>
    <w:rsid w:val="008020EF"/>
    <w:rsid w:val="00817B9B"/>
    <w:rsid w:val="00957FAD"/>
    <w:rsid w:val="00A11E02"/>
    <w:rsid w:val="00BB7BC1"/>
    <w:rsid w:val="00BC4948"/>
    <w:rsid w:val="00F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F895"/>
  <w15:chartTrackingRefBased/>
  <w15:docId w15:val="{DE7E964A-E0A8-46A3-B8B4-CEA9C81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dominic.labadie</dc:creator>
  <cp:keywords/>
  <dc:description/>
  <cp:lastModifiedBy>dominic.labadie</cp:lastModifiedBy>
  <cp:revision>1</cp:revision>
  <dcterms:created xsi:type="dcterms:W3CDTF">2017-09-11T00:30:00Z</dcterms:created>
  <dcterms:modified xsi:type="dcterms:W3CDTF">2017-09-11T01:40:00Z</dcterms:modified>
</cp:coreProperties>
</file>