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F6" w:rsidRDefault="00F25AF6"/>
    <w:p w:rsidR="00F25AF6" w:rsidRDefault="00F25AF6">
      <w:r>
        <w:rPr>
          <w:noProof/>
        </w:rPr>
        <w:drawing>
          <wp:inline distT="0" distB="0" distL="0" distR="0">
            <wp:extent cx="5943600" cy="78700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7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AF6" w:rsidRDefault="00F25AF6">
      <w:r>
        <w:rPr>
          <w:noProof/>
        </w:rPr>
        <w:lastRenderedPageBreak/>
        <w:drawing>
          <wp:inline distT="0" distB="0" distL="0" distR="0">
            <wp:extent cx="5943600" cy="332547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5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AF6" w:rsidRPr="00F25AF6" w:rsidRDefault="00F25AF6" w:rsidP="00F25AF6"/>
    <w:p w:rsidR="00F25AF6" w:rsidRPr="00F25AF6" w:rsidRDefault="00F25AF6" w:rsidP="00F25AF6"/>
    <w:p w:rsidR="00F25AF6" w:rsidRPr="00A10ECC" w:rsidRDefault="00F25AF6" w:rsidP="00F25AF6">
      <w:r>
        <w:t xml:space="preserve">Handbook of veterinary Pharmacology by Walter H .Hsu, 2008 Wiley-Blackwell Chapter 18 Fluid and Blood therapy </w:t>
      </w:r>
      <w:proofErr w:type="gramStart"/>
      <w:r>
        <w:t>pages  447</w:t>
      </w:r>
      <w:proofErr w:type="gramEnd"/>
      <w:r>
        <w:t>-448.</w:t>
      </w:r>
    </w:p>
    <w:p w:rsidR="00F25AF6" w:rsidRPr="00F25AF6" w:rsidRDefault="00F25AF6" w:rsidP="00F25AF6">
      <w:pPr>
        <w:tabs>
          <w:tab w:val="left" w:pos="1245"/>
        </w:tabs>
      </w:pPr>
    </w:p>
    <w:sectPr w:rsidR="00F25AF6" w:rsidRPr="00F25AF6" w:rsidSect="00314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5AF6"/>
    <w:rsid w:val="00314E0A"/>
    <w:rsid w:val="00F2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Vinesh Kissoon</dc:creator>
  <cp:lastModifiedBy>Vinesh Kissoon</cp:lastModifiedBy>
  <cp:revision>1</cp:revision>
  <dcterms:created xsi:type="dcterms:W3CDTF">2014-09-25T01:32:00Z</dcterms:created>
  <dcterms:modified xsi:type="dcterms:W3CDTF">2014-09-25T01:37:00Z</dcterms:modified>
</cp:coreProperties>
</file>