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E55" w:rsidRPr="00F50E55" w:rsidRDefault="00F50E55" w:rsidP="00F50E55">
      <w:pPr>
        <w:rPr>
          <w:rFonts w:ascii="Cambria" w:hAnsi="Cambria"/>
        </w:rPr>
      </w:pPr>
      <w:r w:rsidRPr="00F50E55">
        <w:rPr>
          <w:rFonts w:ascii="Cambria" w:hAnsi="Cambria"/>
          <w:b/>
          <w:u w:val="single"/>
        </w:rPr>
        <w:t>How</w:t>
      </w:r>
      <w:r w:rsidRPr="00F50E55">
        <w:rPr>
          <w:rFonts w:ascii="Cambria" w:hAnsi="Cambria"/>
        </w:rPr>
        <w:t>:</w:t>
      </w:r>
    </w:p>
    <w:p w:rsidR="00F50E55" w:rsidRPr="00F50E55" w:rsidRDefault="00F50E55" w:rsidP="00F50E55">
      <w:pPr>
        <w:rPr>
          <w:rFonts w:ascii="Cambria" w:hAnsi="Cambria"/>
        </w:rPr>
      </w:pPr>
      <w:r w:rsidRPr="00F50E55">
        <w:rPr>
          <w:rFonts w:ascii="Cambria" w:hAnsi="Cambria"/>
          <w:noProof/>
        </w:rPr>
        <w:drawing>
          <wp:inline distT="0" distB="0" distL="0" distR="0" wp14:anchorId="7BC8E0BD" wp14:editId="6462ACDE">
            <wp:extent cx="2628900" cy="2262916"/>
            <wp:effectExtent l="0" t="0" r="0" b="4445"/>
            <wp:docPr id="1" name="Picture 1" descr="Dehorning site Diagram 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horning site Diagram 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575" cy="226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0E55">
        <w:rPr>
          <w:rFonts w:ascii="Cambria" w:hAnsi="Cambria"/>
        </w:rPr>
        <w:t xml:space="preserve"> </w:t>
      </w:r>
      <w:r w:rsidRPr="00F50E55">
        <w:rPr>
          <w:rFonts w:ascii="Cambria" w:hAnsi="Cambria"/>
          <w:i/>
          <w:u w:val="single"/>
        </w:rPr>
        <w:t>Placement of dehorner</w:t>
      </w:r>
    </w:p>
    <w:p w:rsidR="00F50E55" w:rsidRPr="00F50E55" w:rsidRDefault="00F50E55" w:rsidP="00F50E55">
      <w:pPr>
        <w:rPr>
          <w:rFonts w:ascii="Cambria" w:hAnsi="Cambria"/>
        </w:rPr>
      </w:pPr>
      <w:r w:rsidRPr="00F50E55">
        <w:rPr>
          <w:rFonts w:ascii="Cambria" w:hAnsi="Cambria"/>
        </w:rPr>
        <w:t>Flowchart of procedure:</w:t>
      </w:r>
    </w:p>
    <w:p w:rsidR="00F50E55" w:rsidRPr="00F50E55" w:rsidRDefault="00F50E55" w:rsidP="00F50E55">
      <w:pPr>
        <w:numPr>
          <w:ilvl w:val="0"/>
          <w:numId w:val="1"/>
        </w:numPr>
        <w:rPr>
          <w:rFonts w:ascii="Cambria" w:hAnsi="Cambria"/>
        </w:rPr>
      </w:pPr>
      <w:proofErr w:type="spellStart"/>
      <w:r w:rsidRPr="00F50E55">
        <w:rPr>
          <w:rFonts w:ascii="Cambria" w:hAnsi="Cambria"/>
        </w:rPr>
        <w:t>Anaethesia</w:t>
      </w:r>
      <w:proofErr w:type="spellEnd"/>
      <w:r w:rsidRPr="00F50E55">
        <w:rPr>
          <w:rFonts w:ascii="Cambria" w:hAnsi="Cambria"/>
        </w:rPr>
        <w:t xml:space="preserve"> &amp; pain relief</w:t>
      </w:r>
    </w:p>
    <w:p w:rsidR="00F50E55" w:rsidRPr="00F50E55" w:rsidRDefault="00F50E55" w:rsidP="00F50E55">
      <w:pPr>
        <w:numPr>
          <w:ilvl w:val="1"/>
          <w:numId w:val="1"/>
        </w:numPr>
        <w:rPr>
          <w:rFonts w:ascii="Cambria" w:hAnsi="Cambria"/>
        </w:rPr>
      </w:pPr>
      <w:r w:rsidRPr="00F50E55">
        <w:rPr>
          <w:rFonts w:ascii="Cambria" w:hAnsi="Cambria"/>
        </w:rPr>
        <w:t xml:space="preserve">Local </w:t>
      </w:r>
      <w:proofErr w:type="spellStart"/>
      <w:r w:rsidRPr="00F50E55">
        <w:rPr>
          <w:rFonts w:ascii="Cambria" w:hAnsi="Cambria"/>
        </w:rPr>
        <w:t>Anaethetic</w:t>
      </w:r>
      <w:proofErr w:type="spellEnd"/>
      <w:r w:rsidRPr="00F50E55">
        <w:rPr>
          <w:rFonts w:ascii="Cambria" w:hAnsi="Cambria"/>
        </w:rPr>
        <w:t xml:space="preserve"> – </w:t>
      </w:r>
      <w:proofErr w:type="spellStart"/>
      <w:r w:rsidRPr="00F50E55">
        <w:rPr>
          <w:rFonts w:ascii="Cambria" w:hAnsi="Cambria"/>
        </w:rPr>
        <w:t>Lidocaine</w:t>
      </w:r>
      <w:proofErr w:type="spellEnd"/>
      <w:r w:rsidRPr="00F50E55">
        <w:rPr>
          <w:rFonts w:ascii="Cambria" w:hAnsi="Cambria"/>
        </w:rPr>
        <w:t xml:space="preserve"> – acts for 60-90 </w:t>
      </w:r>
      <w:proofErr w:type="spellStart"/>
      <w:r w:rsidRPr="00F50E55">
        <w:rPr>
          <w:rFonts w:ascii="Cambria" w:hAnsi="Cambria"/>
        </w:rPr>
        <w:t>mins</w:t>
      </w:r>
      <w:proofErr w:type="spellEnd"/>
    </w:p>
    <w:p w:rsidR="00F50E55" w:rsidRPr="00F50E55" w:rsidRDefault="00F50E55" w:rsidP="00F50E55">
      <w:pPr>
        <w:numPr>
          <w:ilvl w:val="1"/>
          <w:numId w:val="1"/>
        </w:numPr>
        <w:rPr>
          <w:rFonts w:ascii="Cambria" w:hAnsi="Cambria"/>
        </w:rPr>
      </w:pPr>
      <w:r w:rsidRPr="00F50E55">
        <w:rPr>
          <w:rFonts w:ascii="Cambria" w:hAnsi="Cambria"/>
        </w:rPr>
        <w:t xml:space="preserve">Sedation for fractious animals- Xylazine or other alpha 2 agonists at low dose. </w:t>
      </w:r>
      <w:proofErr w:type="spellStart"/>
      <w:r w:rsidRPr="00F50E55">
        <w:rPr>
          <w:rFonts w:ascii="Cambria" w:hAnsi="Cambria"/>
        </w:rPr>
        <w:t>Xylazine’s</w:t>
      </w:r>
      <w:proofErr w:type="spellEnd"/>
      <w:r w:rsidRPr="00F50E55">
        <w:rPr>
          <w:rFonts w:ascii="Cambria" w:hAnsi="Cambria"/>
        </w:rPr>
        <w:t xml:space="preserve"> effect can be reversed using </w:t>
      </w:r>
      <w:proofErr w:type="spellStart"/>
      <w:r w:rsidRPr="00F50E55">
        <w:rPr>
          <w:rFonts w:ascii="Cambria" w:hAnsi="Cambria"/>
        </w:rPr>
        <w:t>Tolazamine</w:t>
      </w:r>
      <w:proofErr w:type="spellEnd"/>
      <w:r w:rsidRPr="00F50E55">
        <w:rPr>
          <w:rFonts w:ascii="Cambria" w:hAnsi="Cambria"/>
        </w:rPr>
        <w:t xml:space="preserve"> </w:t>
      </w:r>
    </w:p>
    <w:p w:rsidR="00F50E55" w:rsidRPr="00F50E55" w:rsidRDefault="00F50E55" w:rsidP="00F50E55">
      <w:pPr>
        <w:numPr>
          <w:ilvl w:val="1"/>
          <w:numId w:val="1"/>
        </w:numPr>
        <w:rPr>
          <w:rFonts w:ascii="Cambria" w:hAnsi="Cambria"/>
        </w:rPr>
      </w:pPr>
      <w:r w:rsidRPr="00F50E55">
        <w:rPr>
          <w:rFonts w:ascii="Cambria" w:hAnsi="Cambria"/>
        </w:rPr>
        <w:t xml:space="preserve">Combined anesthetic – Intramuscular injection of 0.02 mg/kg xylazine and 0.04mg/kg </w:t>
      </w:r>
      <w:proofErr w:type="spellStart"/>
      <w:r w:rsidRPr="00F50E55">
        <w:rPr>
          <w:rFonts w:ascii="Cambria" w:hAnsi="Cambria"/>
        </w:rPr>
        <w:t>butorphanol</w:t>
      </w:r>
      <w:proofErr w:type="spellEnd"/>
    </w:p>
    <w:p w:rsidR="00F50E55" w:rsidRPr="00F50E55" w:rsidRDefault="00F50E55" w:rsidP="00F50E55">
      <w:pPr>
        <w:numPr>
          <w:ilvl w:val="0"/>
          <w:numId w:val="1"/>
        </w:numPr>
        <w:rPr>
          <w:rFonts w:ascii="Cambria" w:hAnsi="Cambria"/>
        </w:rPr>
      </w:pPr>
      <w:r w:rsidRPr="00F50E55">
        <w:rPr>
          <w:rFonts w:ascii="Cambria" w:hAnsi="Cambria"/>
        </w:rPr>
        <w:t>Prophylactic medication</w:t>
      </w:r>
    </w:p>
    <w:p w:rsidR="00F50E55" w:rsidRPr="00F50E55" w:rsidRDefault="00F50E55" w:rsidP="00F50E55">
      <w:pPr>
        <w:numPr>
          <w:ilvl w:val="1"/>
          <w:numId w:val="1"/>
        </w:numPr>
        <w:rPr>
          <w:rFonts w:ascii="Cambria" w:hAnsi="Cambria"/>
        </w:rPr>
      </w:pPr>
      <w:r w:rsidRPr="00F50E55">
        <w:rPr>
          <w:rFonts w:ascii="Cambria" w:hAnsi="Cambria"/>
        </w:rPr>
        <w:t>Long acting – Pen Strep (</w:t>
      </w:r>
      <w:proofErr w:type="spellStart"/>
      <w:r w:rsidRPr="00F50E55">
        <w:rPr>
          <w:rFonts w:ascii="Cambria" w:hAnsi="Cambria"/>
        </w:rPr>
        <w:t>Combikel</w:t>
      </w:r>
      <w:proofErr w:type="spellEnd"/>
      <w:r w:rsidRPr="00F50E55">
        <w:rPr>
          <w:rFonts w:ascii="Cambria" w:hAnsi="Cambria"/>
        </w:rPr>
        <w:t>) at a dose rate of 20,000IU/kg</w:t>
      </w:r>
    </w:p>
    <w:p w:rsidR="00F50E55" w:rsidRPr="00F50E55" w:rsidRDefault="00F50E55" w:rsidP="00F50E55">
      <w:pPr>
        <w:numPr>
          <w:ilvl w:val="1"/>
          <w:numId w:val="1"/>
        </w:numPr>
        <w:rPr>
          <w:rFonts w:ascii="Cambria" w:hAnsi="Cambria"/>
        </w:rPr>
      </w:pPr>
      <w:proofErr w:type="spellStart"/>
      <w:r w:rsidRPr="00F50E55">
        <w:rPr>
          <w:rFonts w:ascii="Cambria" w:hAnsi="Cambria"/>
        </w:rPr>
        <w:t>Ivermectin</w:t>
      </w:r>
      <w:proofErr w:type="spellEnd"/>
      <w:r w:rsidRPr="00F50E55">
        <w:rPr>
          <w:rFonts w:ascii="Cambria" w:hAnsi="Cambria"/>
        </w:rPr>
        <w:t xml:space="preserve">- prevents </w:t>
      </w:r>
      <w:proofErr w:type="spellStart"/>
      <w:r w:rsidRPr="00F50E55">
        <w:rPr>
          <w:rFonts w:ascii="Cambria" w:hAnsi="Cambria"/>
        </w:rPr>
        <w:t>myiasis</w:t>
      </w:r>
      <w:proofErr w:type="spellEnd"/>
      <w:r w:rsidRPr="00F50E55">
        <w:rPr>
          <w:rFonts w:ascii="Cambria" w:hAnsi="Cambria"/>
        </w:rPr>
        <w:t xml:space="preserve"> – Dose 200 micrograms/kg</w:t>
      </w:r>
    </w:p>
    <w:p w:rsidR="00F50E55" w:rsidRPr="00F50E55" w:rsidRDefault="00F50E55" w:rsidP="00F50E55">
      <w:pPr>
        <w:numPr>
          <w:ilvl w:val="0"/>
          <w:numId w:val="1"/>
        </w:numPr>
        <w:rPr>
          <w:rFonts w:ascii="Cambria" w:hAnsi="Cambria"/>
        </w:rPr>
      </w:pPr>
      <w:r w:rsidRPr="00F50E55">
        <w:rPr>
          <w:rFonts w:ascii="Cambria" w:hAnsi="Cambria"/>
        </w:rPr>
        <w:t xml:space="preserve">Nerve Block </w:t>
      </w:r>
    </w:p>
    <w:p w:rsidR="00F50E55" w:rsidRPr="00F50E55" w:rsidRDefault="00F50E55" w:rsidP="00F50E55">
      <w:pPr>
        <w:numPr>
          <w:ilvl w:val="1"/>
          <w:numId w:val="1"/>
        </w:numPr>
        <w:rPr>
          <w:rFonts w:ascii="Cambria" w:hAnsi="Cambria"/>
        </w:rPr>
      </w:pPr>
      <w:proofErr w:type="spellStart"/>
      <w:r w:rsidRPr="00F50E55">
        <w:rPr>
          <w:rFonts w:ascii="Cambria" w:hAnsi="Cambria"/>
        </w:rPr>
        <w:t>Cornual</w:t>
      </w:r>
      <w:proofErr w:type="spellEnd"/>
      <w:r w:rsidRPr="00F50E55">
        <w:rPr>
          <w:rFonts w:ascii="Cambria" w:hAnsi="Cambria"/>
        </w:rPr>
        <w:t xml:space="preserve"> Nerve – midway between the eye and horn ventral to the frontal ridge. Advance the needle into the ridge, retract a bit, aspirate and administer. Massage site of administration after needle is removed.</w:t>
      </w:r>
    </w:p>
    <w:p w:rsidR="00F50E55" w:rsidRPr="00F50E55" w:rsidRDefault="00F50E55" w:rsidP="00F50E55">
      <w:pPr>
        <w:numPr>
          <w:ilvl w:val="0"/>
          <w:numId w:val="1"/>
        </w:numPr>
        <w:rPr>
          <w:rFonts w:ascii="Cambria" w:hAnsi="Cambria"/>
        </w:rPr>
      </w:pPr>
      <w:r w:rsidRPr="00F50E55">
        <w:rPr>
          <w:rFonts w:ascii="Cambria" w:hAnsi="Cambria"/>
        </w:rPr>
        <w:t>Dehorning</w:t>
      </w:r>
    </w:p>
    <w:p w:rsidR="00F50E55" w:rsidRPr="00F50E55" w:rsidRDefault="00F50E55" w:rsidP="00F50E55">
      <w:pPr>
        <w:numPr>
          <w:ilvl w:val="0"/>
          <w:numId w:val="1"/>
        </w:numPr>
        <w:rPr>
          <w:rFonts w:ascii="Cambria" w:hAnsi="Cambria"/>
        </w:rPr>
      </w:pPr>
      <w:proofErr w:type="spellStart"/>
      <w:r w:rsidRPr="00F50E55">
        <w:rPr>
          <w:rFonts w:ascii="Cambria" w:hAnsi="Cambria"/>
        </w:rPr>
        <w:t>Haemostasis</w:t>
      </w:r>
      <w:proofErr w:type="spellEnd"/>
      <w:r w:rsidRPr="00F50E55">
        <w:rPr>
          <w:rFonts w:ascii="Cambria" w:hAnsi="Cambria"/>
        </w:rPr>
        <w:t xml:space="preserve"> and cauterization of the </w:t>
      </w:r>
      <w:proofErr w:type="spellStart"/>
      <w:r w:rsidRPr="00F50E55">
        <w:rPr>
          <w:rFonts w:ascii="Cambria" w:hAnsi="Cambria"/>
        </w:rPr>
        <w:t>cornual</w:t>
      </w:r>
      <w:proofErr w:type="spellEnd"/>
      <w:r w:rsidRPr="00F50E55">
        <w:rPr>
          <w:rFonts w:ascii="Cambria" w:hAnsi="Cambria"/>
        </w:rPr>
        <w:t xml:space="preserve"> artery</w:t>
      </w:r>
    </w:p>
    <w:p w:rsidR="00F50E55" w:rsidRPr="00F50E55" w:rsidRDefault="00F50E55" w:rsidP="00F50E55">
      <w:pPr>
        <w:rPr>
          <w:rFonts w:ascii="Cambria" w:hAnsi="Cambria"/>
        </w:rPr>
      </w:pPr>
      <w:r w:rsidRPr="00F50E55">
        <w:rPr>
          <w:rFonts w:ascii="Cambria" w:hAnsi="Cambria"/>
        </w:rPr>
        <w:t xml:space="preserve">In this lab, the calf was given </w:t>
      </w:r>
      <w:r w:rsidR="00DD3FD3">
        <w:rPr>
          <w:rFonts w:ascii="Cambria" w:hAnsi="Cambria"/>
        </w:rPr>
        <w:t xml:space="preserve">6.5ml of </w:t>
      </w:r>
      <w:r w:rsidRPr="00F50E55">
        <w:rPr>
          <w:rFonts w:ascii="Cambria" w:hAnsi="Cambria"/>
        </w:rPr>
        <w:t>systemic antibiotic</w:t>
      </w:r>
      <w:r w:rsidR="00DD3FD3">
        <w:rPr>
          <w:rFonts w:ascii="Cambria" w:hAnsi="Cambria"/>
        </w:rPr>
        <w:t xml:space="preserve"> (Combikel)</w:t>
      </w:r>
      <w:bookmarkStart w:id="0" w:name="_GoBack"/>
      <w:bookmarkEnd w:id="0"/>
      <w:r w:rsidRPr="00F50E55">
        <w:rPr>
          <w:rFonts w:ascii="Cambria" w:hAnsi="Cambria"/>
        </w:rPr>
        <w:t xml:space="preserve"> before dehorning to help ward off any possible infection which might have resulted from the operation. </w:t>
      </w:r>
      <w:proofErr w:type="spellStart"/>
      <w:r w:rsidRPr="00F50E55">
        <w:rPr>
          <w:rFonts w:ascii="Cambria" w:hAnsi="Cambria"/>
        </w:rPr>
        <w:t>Flunixin</w:t>
      </w:r>
      <w:proofErr w:type="spellEnd"/>
      <w:r w:rsidRPr="00F50E55">
        <w:rPr>
          <w:rFonts w:ascii="Cambria" w:hAnsi="Cambria"/>
        </w:rPr>
        <w:t xml:space="preserve"> was also given to introduce analgesia so that pain was limited during and after the procedure.</w:t>
      </w:r>
    </w:p>
    <w:p w:rsidR="00F50E55" w:rsidRDefault="00F50E55" w:rsidP="00F50E55">
      <w:pPr>
        <w:rPr>
          <w:rFonts w:ascii="Cambria" w:hAnsi="Cambria"/>
          <w:lang w:val="en-TT"/>
        </w:rPr>
      </w:pPr>
      <w:r w:rsidRPr="00F50E55">
        <w:rPr>
          <w:rFonts w:ascii="Cambria" w:hAnsi="Cambria"/>
          <w:b/>
          <w:lang w:val="en-TT"/>
        </w:rPr>
        <w:t>In goats:</w:t>
      </w:r>
      <w:r w:rsidRPr="00F50E55">
        <w:rPr>
          <w:rFonts w:ascii="Cambria" w:hAnsi="Cambria"/>
          <w:lang w:val="en-TT"/>
        </w:rPr>
        <w:t xml:space="preserve"> There are two nerve blocks in goats - corneal branch of intra-trochlear nerve and the corneal branch of the lacrimal nerve. These are blocked prior to dehorning using </w:t>
      </w:r>
      <w:proofErr w:type="spellStart"/>
      <w:r w:rsidRPr="00F50E55">
        <w:rPr>
          <w:rFonts w:ascii="Cambria" w:hAnsi="Cambria"/>
          <w:lang w:val="en-TT"/>
        </w:rPr>
        <w:t>Lidocaine</w:t>
      </w:r>
      <w:proofErr w:type="spellEnd"/>
      <w:r w:rsidRPr="00F50E55">
        <w:rPr>
          <w:rFonts w:ascii="Cambria" w:hAnsi="Cambria"/>
          <w:lang w:val="en-TT"/>
        </w:rPr>
        <w:t xml:space="preserve"> and following the same analgesic protocol of IV </w:t>
      </w:r>
      <w:proofErr w:type="spellStart"/>
      <w:r w:rsidRPr="00F50E55">
        <w:rPr>
          <w:rFonts w:ascii="Cambria" w:hAnsi="Cambria"/>
          <w:lang w:val="en-TT"/>
        </w:rPr>
        <w:t>Flunixin</w:t>
      </w:r>
      <w:proofErr w:type="spellEnd"/>
      <w:r w:rsidRPr="00F50E55">
        <w:rPr>
          <w:rFonts w:ascii="Cambria" w:hAnsi="Cambria"/>
          <w:lang w:val="en-TT"/>
        </w:rPr>
        <w:t xml:space="preserve"> and the ketamine stun technique of sedation.</w:t>
      </w:r>
    </w:p>
    <w:p w:rsidR="00F50E55" w:rsidRPr="00F50E55" w:rsidRDefault="00F50E55" w:rsidP="00F50E55">
      <w:pPr>
        <w:rPr>
          <w:rFonts w:ascii="Cambria" w:hAnsi="Cambria"/>
          <w:lang w:val="en-TT"/>
        </w:rPr>
      </w:pPr>
    </w:p>
    <w:p w:rsidR="001F1076" w:rsidRPr="00F50E55" w:rsidRDefault="001F1076">
      <w:pPr>
        <w:rPr>
          <w:rFonts w:ascii="Cambria" w:hAnsi="Cambria"/>
        </w:rPr>
      </w:pPr>
    </w:p>
    <w:sectPr w:rsidR="001F1076" w:rsidRPr="00F50E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06A75"/>
    <w:multiLevelType w:val="hybridMultilevel"/>
    <w:tmpl w:val="CE260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E55"/>
    <w:rsid w:val="001F1076"/>
    <w:rsid w:val="00DD3FD3"/>
    <w:rsid w:val="00F5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9247BAE-8277-48CA-8B3D-16E6CDEB9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Celeste Madray</dc:creator>
  <cp:keywords/>
  <dc:description/>
  <cp:lastModifiedBy>Celeste Madray</cp:lastModifiedBy>
  <cp:revision>2</cp:revision>
  <dcterms:created xsi:type="dcterms:W3CDTF">2017-09-30T00:14:00Z</dcterms:created>
  <dcterms:modified xsi:type="dcterms:W3CDTF">2017-09-30T17:17:00Z</dcterms:modified>
</cp:coreProperties>
</file>