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6A22" w:rsidTr="00696A22">
        <w:tc>
          <w:tcPr>
            <w:tcW w:w="4675" w:type="dxa"/>
          </w:tcPr>
          <w:p w:rsidR="00696A22" w:rsidRPr="00696A22" w:rsidRDefault="00696A22" w:rsidP="00696A2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JM"/>
              </w:rPr>
            </w:pPr>
            <w:bookmarkStart w:id="0" w:name="_GoBack" w:colFirst="0" w:colLast="1"/>
            <w:r w:rsidRPr="00696A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JM"/>
              </w:rPr>
              <w:t>Advantages</w:t>
            </w:r>
          </w:p>
        </w:tc>
        <w:tc>
          <w:tcPr>
            <w:tcW w:w="4675" w:type="dxa"/>
          </w:tcPr>
          <w:p w:rsidR="00696A22" w:rsidRPr="00696A22" w:rsidRDefault="00696A22" w:rsidP="00696A2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JM"/>
              </w:rPr>
            </w:pPr>
            <w:r w:rsidRPr="00696A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JM"/>
              </w:rPr>
              <w:t>Disadvantages</w:t>
            </w:r>
          </w:p>
        </w:tc>
      </w:tr>
      <w:tr w:rsidR="00696A22" w:rsidTr="00696A22">
        <w:tc>
          <w:tcPr>
            <w:tcW w:w="4675" w:type="dxa"/>
          </w:tcPr>
          <w:p w:rsidR="00696A22" w:rsidRPr="00696A22" w:rsidRDefault="00696A22" w:rsidP="00696A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</w:pPr>
            <w:r w:rsidRPr="0069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Often a salvage procedure in severe and otherwise unresponsive flexural deformities, although can aid development into sound riding horses in some cases.</w:t>
            </w:r>
          </w:p>
          <w:p w:rsidR="00696A22" w:rsidRPr="00696A22" w:rsidRDefault="00696A22" w:rsidP="00696A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</w:pPr>
            <w:r w:rsidRPr="0069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Simple procedure.</w:t>
            </w:r>
          </w:p>
          <w:p w:rsidR="00696A22" w:rsidRPr="00696A22" w:rsidRDefault="00696A22" w:rsidP="00696A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</w:pPr>
            <w:r w:rsidRPr="0069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The mid-metacarpal approach avoids invasion of the tendon sheath.</w:t>
            </w:r>
          </w:p>
          <w:p w:rsidR="00696A22" w:rsidRPr="00696A22" w:rsidRDefault="00696A22" w:rsidP="00696A2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</w:pPr>
            <w:r w:rsidRPr="0069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The distal approach results in an increased level of release of the tendon.</w:t>
            </w:r>
          </w:p>
          <w:p w:rsidR="00696A22" w:rsidRPr="00696A22" w:rsidRDefault="00696A22" w:rsidP="00696A22">
            <w:pPr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JM"/>
              </w:rPr>
            </w:pPr>
          </w:p>
        </w:tc>
        <w:tc>
          <w:tcPr>
            <w:tcW w:w="4675" w:type="dxa"/>
          </w:tcPr>
          <w:p w:rsidR="00696A22" w:rsidRPr="00696A22" w:rsidRDefault="00696A22" w:rsidP="00696A2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</w:pPr>
            <w:r w:rsidRPr="0069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Often just a salvage procedure.</w:t>
            </w:r>
          </w:p>
          <w:p w:rsidR="00696A22" w:rsidRPr="00696A22" w:rsidRDefault="00696A22" w:rsidP="00696A2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</w:pPr>
            <w:r w:rsidRPr="0069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Causes high levels of post-operative pain which requires prolonged analgesia to control. </w:t>
            </w:r>
          </w:p>
          <w:p w:rsidR="00696A22" w:rsidRPr="00696A22" w:rsidRDefault="00696A22" w:rsidP="00696A2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</w:pPr>
            <w:r w:rsidRPr="0069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Variable response.</w:t>
            </w:r>
          </w:p>
          <w:p w:rsidR="00696A22" w:rsidRPr="00696A22" w:rsidRDefault="00696A22" w:rsidP="00696A2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</w:pPr>
            <w:r w:rsidRPr="0069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May result in overextension, subluxation of distal interphalangeal joint.</w:t>
            </w:r>
          </w:p>
          <w:p w:rsidR="00696A22" w:rsidRPr="00696A22" w:rsidRDefault="00696A22" w:rsidP="00696A2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</w:pPr>
            <w:r w:rsidRPr="00696A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JM"/>
              </w:rPr>
              <w:t>Poor cosmetic result.</w:t>
            </w:r>
          </w:p>
          <w:p w:rsidR="00696A22" w:rsidRPr="00696A22" w:rsidRDefault="00696A22" w:rsidP="00696A22">
            <w:pPr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JM"/>
              </w:rPr>
            </w:pPr>
          </w:p>
        </w:tc>
      </w:tr>
      <w:bookmarkEnd w:id="0"/>
    </w:tbl>
    <w:p w:rsidR="00696A22" w:rsidRDefault="00696A22" w:rsidP="00696A22">
      <w:pP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b/>
          <w:bCs/>
          <w:color w:val="436E8C"/>
          <w:sz w:val="24"/>
          <w:szCs w:val="24"/>
          <w:lang w:eastAsia="en-JM"/>
        </w:rPr>
      </w:pPr>
    </w:p>
    <w:p w:rsidR="00696A22" w:rsidRDefault="00696A22" w:rsidP="00696A22">
      <w:pP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b/>
          <w:bCs/>
          <w:color w:val="436E8C"/>
          <w:sz w:val="24"/>
          <w:szCs w:val="24"/>
          <w:lang w:eastAsia="en-JM"/>
        </w:rPr>
      </w:pPr>
    </w:p>
    <w:p w:rsidR="00F836D4" w:rsidRPr="00093C54" w:rsidRDefault="00696A22">
      <w:pPr>
        <w:rPr>
          <w:rFonts w:ascii="Times New Roman" w:hAnsi="Times New Roman" w:cs="Times New Roman"/>
          <w:sz w:val="24"/>
          <w:szCs w:val="24"/>
        </w:rPr>
      </w:pPr>
    </w:p>
    <w:sectPr w:rsidR="00F836D4" w:rsidRPr="00093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53D59"/>
    <w:multiLevelType w:val="multilevel"/>
    <w:tmpl w:val="7E68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D0C30"/>
    <w:multiLevelType w:val="multilevel"/>
    <w:tmpl w:val="68E0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50D3B"/>
    <w:multiLevelType w:val="hybridMultilevel"/>
    <w:tmpl w:val="EB943486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54"/>
    <w:rsid w:val="00005769"/>
    <w:rsid w:val="00090256"/>
    <w:rsid w:val="00093C54"/>
    <w:rsid w:val="00683A4E"/>
    <w:rsid w:val="00696A22"/>
    <w:rsid w:val="00B86344"/>
    <w:rsid w:val="00DD14D9"/>
    <w:rsid w:val="00E979A7"/>
    <w:rsid w:val="00F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5BB7"/>
  <w15:chartTrackingRefBased/>
  <w15:docId w15:val="{3D67ADD2-591D-489F-9981-5CDD12B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tashay.graham</dc:creator>
  <cp:keywords/>
  <dc:description/>
  <cp:lastModifiedBy>tashay.graham</cp:lastModifiedBy>
  <cp:revision>2</cp:revision>
  <dcterms:created xsi:type="dcterms:W3CDTF">2017-10-15T05:18:00Z</dcterms:created>
  <dcterms:modified xsi:type="dcterms:W3CDTF">2017-10-15T05:18:00Z</dcterms:modified>
</cp:coreProperties>
</file>