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8F" w:rsidRPr="00F8798F" w:rsidRDefault="00F8798F">
      <w:r>
        <w:rPr>
          <w:u w:val="single"/>
        </w:rPr>
        <w:t>Procedure</w:t>
      </w:r>
      <w:r>
        <w:t xml:space="preserve"> –</w:t>
      </w:r>
      <w:bookmarkStart w:id="0" w:name="_GoBack"/>
      <w:bookmarkEnd w:id="0"/>
    </w:p>
    <w:p w:rsidR="00E424FF" w:rsidRDefault="000870BA" w:rsidP="00237DD2">
      <w:pPr>
        <w:pStyle w:val="ListParagraph"/>
        <w:numPr>
          <w:ilvl w:val="0"/>
          <w:numId w:val="1"/>
        </w:numPr>
      </w:pPr>
      <w:r>
        <w:t>The surgical site and surrounding areas were clipped of hair</w:t>
      </w:r>
      <w:r w:rsidR="00E424FF">
        <w:t xml:space="preserve"> (ventral abdomen bordering umbilical region).</w:t>
      </w:r>
    </w:p>
    <w:p w:rsidR="00237DD2" w:rsidRDefault="00E424FF" w:rsidP="00237DD2">
      <w:pPr>
        <w:pStyle w:val="ListParagraph"/>
        <w:numPr>
          <w:ilvl w:val="0"/>
          <w:numId w:val="1"/>
        </w:numPr>
      </w:pPr>
      <w:r>
        <w:t xml:space="preserve">The surgical site was </w:t>
      </w:r>
      <w:r w:rsidR="000870BA">
        <w:t>scrubbed</w:t>
      </w:r>
      <w:r>
        <w:t xml:space="preserve"> </w:t>
      </w:r>
      <w:r w:rsidR="000870BA">
        <w:t>using gauze soaked in</w:t>
      </w:r>
      <w:r w:rsidR="00F91126">
        <w:t xml:space="preserve"> 7</w:t>
      </w:r>
      <w:r w:rsidR="00C0770C">
        <w:t>0% isopropyl</w:t>
      </w:r>
      <w:r>
        <w:t xml:space="preserve"> alcohol followed</w:t>
      </w:r>
      <w:r w:rsidR="000870BA">
        <w:t xml:space="preserve"> </w:t>
      </w:r>
      <w:r>
        <w:t xml:space="preserve">by </w:t>
      </w:r>
      <w:r w:rsidR="000870BA">
        <w:t>7% povidone iodine solution</w:t>
      </w:r>
      <w:r w:rsidR="00C0770C">
        <w:t xml:space="preserve">, </w:t>
      </w:r>
      <w:r w:rsidR="003F29FE">
        <w:t>twice</w:t>
      </w:r>
      <w:r w:rsidR="00C0770C">
        <w:t xml:space="preserve"> for each solution.</w:t>
      </w:r>
    </w:p>
    <w:p w:rsidR="005C603B" w:rsidRDefault="005C603B" w:rsidP="00237DD2">
      <w:pPr>
        <w:pStyle w:val="ListParagraph"/>
        <w:numPr>
          <w:ilvl w:val="0"/>
          <w:numId w:val="1"/>
        </w:numPr>
      </w:pPr>
      <w:r>
        <w:t>Drapes</w:t>
      </w:r>
      <w:r w:rsidR="00A90059">
        <w:t xml:space="preserve"> were laid at the borders of the surgical site</w:t>
      </w:r>
      <w:r>
        <w:t xml:space="preserve"> </w:t>
      </w:r>
      <w:r w:rsidR="00A90059">
        <w:t xml:space="preserve">and held in place using </w:t>
      </w:r>
      <w:r>
        <w:t>towel clamps</w:t>
      </w:r>
      <w:r w:rsidR="00A90059">
        <w:t>.</w:t>
      </w:r>
    </w:p>
    <w:p w:rsidR="001D37C6" w:rsidRDefault="00A90059" w:rsidP="00237DD2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hernial</w:t>
      </w:r>
      <w:proofErr w:type="spellEnd"/>
      <w:r w:rsidR="001D37C6">
        <w:t xml:space="preserve"> ring</w:t>
      </w:r>
      <w:r>
        <w:t xml:space="preserve"> and mass were </w:t>
      </w:r>
      <w:r w:rsidR="001D37C6">
        <w:t xml:space="preserve">palpated </w:t>
      </w:r>
      <w:r>
        <w:t xml:space="preserve">using the fingertips </w:t>
      </w:r>
      <w:r w:rsidR="001D37C6">
        <w:t>for measurement</w:t>
      </w:r>
      <w:r>
        <w:t xml:space="preserve">, </w:t>
      </w:r>
      <w:r w:rsidR="00781E1C">
        <w:t xml:space="preserve">to inspect their </w:t>
      </w:r>
      <w:r>
        <w:t xml:space="preserve">consistency and to </w:t>
      </w:r>
      <w:r w:rsidR="0014706A">
        <w:t>determine whether the lesion was manually reducible. It was found to be about five centimeters.</w:t>
      </w:r>
    </w:p>
    <w:p w:rsidR="0014706A" w:rsidRDefault="008C3186" w:rsidP="00237DD2">
      <w:pPr>
        <w:pStyle w:val="ListParagraph"/>
        <w:numPr>
          <w:ilvl w:val="0"/>
          <w:numId w:val="1"/>
        </w:numPr>
      </w:pPr>
      <w:r>
        <w:t>A fusiform</w:t>
      </w:r>
      <w:r w:rsidR="005C603B">
        <w:t xml:space="preserve"> incision</w:t>
      </w:r>
      <w:r w:rsidR="0014706A">
        <w:t xml:space="preserve"> was made centered at the </w:t>
      </w:r>
      <w:proofErr w:type="spellStart"/>
      <w:r w:rsidR="0014706A">
        <w:t>hernial</w:t>
      </w:r>
      <w:proofErr w:type="spellEnd"/>
      <w:r w:rsidR="0014706A">
        <w:t xml:space="preserve"> ring, measuring roughly twice the </w:t>
      </w:r>
      <w:proofErr w:type="spellStart"/>
      <w:r w:rsidR="0014706A">
        <w:t>hernial</w:t>
      </w:r>
      <w:proofErr w:type="spellEnd"/>
      <w:r w:rsidR="0014706A">
        <w:t xml:space="preserve"> ring’s diameter in </w:t>
      </w:r>
      <w:r w:rsidR="0044501A">
        <w:t>length.</w:t>
      </w:r>
    </w:p>
    <w:p w:rsidR="005C603B" w:rsidRDefault="0014706A" w:rsidP="00237DD2">
      <w:pPr>
        <w:pStyle w:val="ListParagraph"/>
        <w:numPr>
          <w:ilvl w:val="0"/>
          <w:numId w:val="1"/>
        </w:numPr>
      </w:pPr>
      <w:r>
        <w:t xml:space="preserve">The </w:t>
      </w:r>
      <w:r w:rsidR="001D37C6">
        <w:t>skin</w:t>
      </w:r>
      <w:r>
        <w:t xml:space="preserve"> overlying the </w:t>
      </w:r>
      <w:proofErr w:type="spellStart"/>
      <w:r>
        <w:t>hernial</w:t>
      </w:r>
      <w:proofErr w:type="spellEnd"/>
      <w:r>
        <w:t xml:space="preserve"> ring was then </w:t>
      </w:r>
      <w:r w:rsidR="001D37C6">
        <w:t>undermined by blunt dissection</w:t>
      </w:r>
      <w:r>
        <w:t xml:space="preserve"> using Mayo scissors with care being taken to not pen</w:t>
      </w:r>
      <w:r w:rsidR="009C625D">
        <w:t xml:space="preserve">etrate the </w:t>
      </w:r>
      <w:proofErr w:type="spellStart"/>
      <w:r w:rsidR="009C625D">
        <w:t>hernial</w:t>
      </w:r>
      <w:proofErr w:type="spellEnd"/>
      <w:r w:rsidR="009C625D">
        <w:t xml:space="preserve"> mass and to maintain</w:t>
      </w:r>
      <w:r>
        <w:t xml:space="preserve"> it</w:t>
      </w:r>
      <w:r w:rsidR="009C625D">
        <w:t>s attachment</w:t>
      </w:r>
      <w:r>
        <w:t xml:space="preserve"> to the skin.</w:t>
      </w:r>
    </w:p>
    <w:p w:rsidR="0044501A" w:rsidRDefault="0044501A" w:rsidP="00237DD2">
      <w:pPr>
        <w:pStyle w:val="ListParagraph"/>
        <w:numPr>
          <w:ilvl w:val="0"/>
          <w:numId w:val="1"/>
        </w:numPr>
      </w:pPr>
      <w:r>
        <w:t xml:space="preserve">A window measuring about three centimeters was incised at the interface between the </w:t>
      </w:r>
      <w:proofErr w:type="spellStart"/>
      <w:r>
        <w:t>hernial</w:t>
      </w:r>
      <w:proofErr w:type="spellEnd"/>
      <w:r>
        <w:t xml:space="preserve"> sac and the </w:t>
      </w:r>
      <w:proofErr w:type="spellStart"/>
      <w:r>
        <w:t>hernial</w:t>
      </w:r>
      <w:proofErr w:type="spellEnd"/>
      <w:r>
        <w:t xml:space="preserve"> ring, allowing a finger to be inserted into the abdominal cavity to check abnormalities that would complicate the procedure. These include adhesions of the </w:t>
      </w:r>
      <w:proofErr w:type="spellStart"/>
      <w:r>
        <w:t>omentum</w:t>
      </w:r>
      <w:proofErr w:type="spellEnd"/>
      <w:r>
        <w:t xml:space="preserve"> to the body wall, </w:t>
      </w:r>
      <w:proofErr w:type="spellStart"/>
      <w:r>
        <w:t>abscessation</w:t>
      </w:r>
      <w:proofErr w:type="spellEnd"/>
      <w:r>
        <w:t xml:space="preserve"> or patent fetal structures such as the </w:t>
      </w:r>
      <w:proofErr w:type="spellStart"/>
      <w:r>
        <w:t>urachus</w:t>
      </w:r>
      <w:proofErr w:type="spellEnd"/>
      <w:r>
        <w:t>.</w:t>
      </w:r>
    </w:p>
    <w:p w:rsidR="005C603B" w:rsidRDefault="0044501A" w:rsidP="00237DD2">
      <w:pPr>
        <w:pStyle w:val="ListParagraph"/>
        <w:numPr>
          <w:ilvl w:val="0"/>
          <w:numId w:val="1"/>
        </w:numPr>
      </w:pPr>
      <w:r>
        <w:t xml:space="preserve">The </w:t>
      </w:r>
      <w:r w:rsidR="00C473F7">
        <w:t>subcutaneous tissue</w:t>
      </w:r>
      <w:r w:rsidR="00280860">
        <w:t>, abdominal fascia and musculature</w:t>
      </w:r>
      <w:r w:rsidR="00044E3B">
        <w:t xml:space="preserve"> between the </w:t>
      </w:r>
      <w:proofErr w:type="spellStart"/>
      <w:r w:rsidR="00044E3B">
        <w:t>hernial</w:t>
      </w:r>
      <w:proofErr w:type="spellEnd"/>
      <w:r w:rsidR="00044E3B">
        <w:t xml:space="preserve"> sac and the </w:t>
      </w:r>
      <w:proofErr w:type="spellStart"/>
      <w:r w:rsidR="00044E3B">
        <w:t>hernial</w:t>
      </w:r>
      <w:proofErr w:type="spellEnd"/>
      <w:r w:rsidR="00044E3B">
        <w:t xml:space="preserve"> ring was then completely separated by b</w:t>
      </w:r>
      <w:r w:rsidR="001D37C6">
        <w:t xml:space="preserve">lunt </w:t>
      </w:r>
      <w:r w:rsidR="00065B34">
        <w:t>dissection, with a finger again being inserted to ensure that no abnormal structures were present.</w:t>
      </w:r>
    </w:p>
    <w:p w:rsidR="003D11FB" w:rsidRDefault="00044E3B" w:rsidP="00005E2B">
      <w:pPr>
        <w:pStyle w:val="ListParagraph"/>
        <w:numPr>
          <w:ilvl w:val="0"/>
          <w:numId w:val="1"/>
        </w:numPr>
      </w:pPr>
      <w:r>
        <w:t>The h</w:t>
      </w:r>
      <w:r w:rsidR="00AC4598">
        <w:t xml:space="preserve">erniated material </w:t>
      </w:r>
      <w:r>
        <w:t xml:space="preserve">was </w:t>
      </w:r>
      <w:r w:rsidR="00AC4598">
        <w:t>inspected</w:t>
      </w:r>
      <w:r>
        <w:t xml:space="preserve"> and found to be remnants of the umbilicus covered in omental serosa</w:t>
      </w:r>
      <w:r w:rsidR="00237505">
        <w:t xml:space="preserve"> with no involvement of the gastrointestinal tract</w:t>
      </w:r>
      <w:r>
        <w:t>.</w:t>
      </w:r>
    </w:p>
    <w:p w:rsidR="002534C0" w:rsidRDefault="00005E2B" w:rsidP="00005E2B">
      <w:pPr>
        <w:pStyle w:val="ListParagraph"/>
        <w:numPr>
          <w:ilvl w:val="0"/>
          <w:numId w:val="1"/>
        </w:numPr>
      </w:pPr>
      <w:r>
        <w:t xml:space="preserve">The stalk of </w:t>
      </w:r>
      <w:proofErr w:type="spellStart"/>
      <w:r>
        <w:t>omentum</w:t>
      </w:r>
      <w:proofErr w:type="spellEnd"/>
      <w:r>
        <w:t xml:space="preserve"> contai</w:t>
      </w:r>
      <w:r w:rsidR="00812F9C">
        <w:t xml:space="preserve">ning the mass was clamped proximally with two Rochester </w:t>
      </w:r>
      <w:proofErr w:type="spellStart"/>
      <w:r w:rsidR="00812F9C">
        <w:t>Pean</w:t>
      </w:r>
      <w:proofErr w:type="spellEnd"/>
      <w:r>
        <w:t xml:space="preserve"> hemostat</w:t>
      </w:r>
      <w:r w:rsidR="00812F9C">
        <w:t>s</w:t>
      </w:r>
      <w:r>
        <w:t xml:space="preserve"> to accommodate </w:t>
      </w:r>
      <w:r w:rsidR="00812F9C">
        <w:t xml:space="preserve">two </w:t>
      </w:r>
      <w:proofErr w:type="spellStart"/>
      <w:r w:rsidR="00812F9C">
        <w:t>transfixational</w:t>
      </w:r>
      <w:proofErr w:type="spellEnd"/>
      <w:r w:rsidR="00812F9C">
        <w:t xml:space="preserve"> catgut</w:t>
      </w:r>
      <w:r>
        <w:t xml:space="preserve"> ligature</w:t>
      </w:r>
      <w:r w:rsidR="00812F9C">
        <w:t>s in order to reduce bleeding.</w:t>
      </w:r>
    </w:p>
    <w:p w:rsidR="00812F9C" w:rsidRDefault="00812F9C" w:rsidP="00005E2B">
      <w:pPr>
        <w:pStyle w:val="ListParagraph"/>
        <w:numPr>
          <w:ilvl w:val="0"/>
          <w:numId w:val="1"/>
        </w:numPr>
      </w:pPr>
      <w:r>
        <w:t>The stalk was then clamped again with both hemostats about two centimeters distally to the ligatures and excised at the region between the hemostats using a scalpel.</w:t>
      </w:r>
    </w:p>
    <w:p w:rsidR="003D11FB" w:rsidRDefault="00237505" w:rsidP="00237DD2">
      <w:pPr>
        <w:pStyle w:val="ListParagraph"/>
        <w:numPr>
          <w:ilvl w:val="0"/>
          <w:numId w:val="1"/>
        </w:numPr>
      </w:pPr>
      <w:r>
        <w:t xml:space="preserve">The cut </w:t>
      </w:r>
      <w:proofErr w:type="spellStart"/>
      <w:r>
        <w:t>hernial</w:t>
      </w:r>
      <w:proofErr w:type="spellEnd"/>
      <w:r>
        <w:t xml:space="preserve"> sac was examined to ensure bleeding was controlled then it was placed back into the abdominal cavity.</w:t>
      </w:r>
    </w:p>
    <w:p w:rsidR="00065B34" w:rsidRDefault="00065B34" w:rsidP="00065B34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hernial</w:t>
      </w:r>
      <w:proofErr w:type="spellEnd"/>
      <w:r>
        <w:t xml:space="preserve"> ring was </w:t>
      </w:r>
      <w:r w:rsidR="00176BA6">
        <w:t xml:space="preserve">closed </w:t>
      </w:r>
      <w:r w:rsidR="00A10B26">
        <w:t>using</w:t>
      </w:r>
      <w:r>
        <w:t xml:space="preserve"> pre-tensioned </w:t>
      </w:r>
      <w:r w:rsidR="00176BA6">
        <w:t xml:space="preserve">vest-over-pants </w:t>
      </w:r>
      <w:r>
        <w:t xml:space="preserve">sutures with </w:t>
      </w:r>
      <w:r w:rsidR="00176BA6">
        <w:t>non-</w:t>
      </w:r>
      <w:r>
        <w:t>a</w:t>
      </w:r>
      <w:r w:rsidR="00176BA6">
        <w:t>bsorb</w:t>
      </w:r>
      <w:r>
        <w:t>able material (nylon).</w:t>
      </w:r>
      <w:r w:rsidR="00BC1069">
        <w:t xml:space="preserve"> </w:t>
      </w:r>
      <w:r w:rsidR="00156D25">
        <w:t>Army navy retractors were used to assist suture placement and safeguard the underlying viscera during needle penetration.</w:t>
      </w:r>
      <w:r w:rsidR="00BC1069">
        <w:t>The tension was maintained on all sutures while each was individually closed.</w:t>
      </w:r>
    </w:p>
    <w:p w:rsidR="00176BA6" w:rsidRDefault="00065B34" w:rsidP="00065B34">
      <w:pPr>
        <w:pStyle w:val="ListParagraph"/>
        <w:numPr>
          <w:ilvl w:val="0"/>
          <w:numId w:val="1"/>
        </w:numPr>
      </w:pPr>
      <w:r>
        <w:t>The sub</w:t>
      </w:r>
      <w:r w:rsidR="00176BA6">
        <w:t>cut</w:t>
      </w:r>
      <w:r>
        <w:t>aneous tissues were</w:t>
      </w:r>
      <w:r w:rsidR="00176BA6">
        <w:t xml:space="preserve"> closed </w:t>
      </w:r>
      <w:r>
        <w:t xml:space="preserve">using </w:t>
      </w:r>
      <w:r w:rsidR="00176BA6">
        <w:t xml:space="preserve">simple continuous </w:t>
      </w:r>
      <w:r>
        <w:t xml:space="preserve">sutures with </w:t>
      </w:r>
      <w:r w:rsidR="00176BA6">
        <w:t>absorb</w:t>
      </w:r>
      <w:r>
        <w:t>able material (</w:t>
      </w:r>
      <w:proofErr w:type="spellStart"/>
      <w:r w:rsidR="009C625D">
        <w:t>Lactomer</w:t>
      </w:r>
      <w:proofErr w:type="spellEnd"/>
      <w:r w:rsidR="009C625D">
        <w:t>)</w:t>
      </w:r>
      <w:r w:rsidR="00A10B26">
        <w:t>.</w:t>
      </w:r>
      <w:r w:rsidR="00BC1069">
        <w:t xml:space="preserve"> Large bites were taken close to the margins of the skin to minimize dead space upon apposition.</w:t>
      </w:r>
    </w:p>
    <w:p w:rsidR="00176BA6" w:rsidRDefault="00A10B26" w:rsidP="00237DD2">
      <w:pPr>
        <w:pStyle w:val="ListParagraph"/>
        <w:numPr>
          <w:ilvl w:val="0"/>
          <w:numId w:val="1"/>
        </w:numPr>
      </w:pPr>
      <w:r>
        <w:t>The s</w:t>
      </w:r>
      <w:r w:rsidR="00176BA6">
        <w:t xml:space="preserve">kin </w:t>
      </w:r>
      <w:r>
        <w:t xml:space="preserve">was </w:t>
      </w:r>
      <w:r w:rsidR="00176BA6">
        <w:t>close</w:t>
      </w:r>
      <w:r>
        <w:t>d using horizontal mattress sutures with non-absorbable material (nylon)</w:t>
      </w:r>
      <w:r w:rsidR="00BC1069">
        <w:t>.</w:t>
      </w:r>
      <w:r w:rsidR="00C44588">
        <w:t xml:space="preserve"> Simple interrupted sutures using the same material were also used in those areas between the horizontal mattress sutures were apposition was inadequate in order to decrease the risk of infection.</w:t>
      </w:r>
    </w:p>
    <w:p w:rsidR="00471236" w:rsidRDefault="00C44588" w:rsidP="00237DD2">
      <w:pPr>
        <w:pStyle w:val="ListParagraph"/>
        <w:numPr>
          <w:ilvl w:val="0"/>
          <w:numId w:val="1"/>
        </w:numPr>
      </w:pPr>
      <w:r>
        <w:t xml:space="preserve">The drapes were removed and the skin surrounding the incision site was scrubbed clean of blood using a </w:t>
      </w:r>
      <w:r w:rsidR="00B168A2">
        <w:t>dilute chlorhexidine solution.</w:t>
      </w:r>
    </w:p>
    <w:p w:rsidR="00B168A2" w:rsidRDefault="00B168A2" w:rsidP="00237DD2">
      <w:pPr>
        <w:pStyle w:val="ListParagraph"/>
        <w:numPr>
          <w:ilvl w:val="0"/>
          <w:numId w:val="1"/>
        </w:numPr>
      </w:pPr>
      <w:r>
        <w:lastRenderedPageBreak/>
        <w:t xml:space="preserve">The incision was treated with topical </w:t>
      </w:r>
      <w:proofErr w:type="spellStart"/>
      <w:r>
        <w:t>Tetravet</w:t>
      </w:r>
      <w:proofErr w:type="spellEnd"/>
      <w:r>
        <w:t xml:space="preserve"> (antibacterial), </w:t>
      </w:r>
      <w:r w:rsidR="00EE0877">
        <w:t xml:space="preserve">aluminum bandage </w:t>
      </w:r>
      <w:r>
        <w:t xml:space="preserve">and </w:t>
      </w:r>
      <w:proofErr w:type="spellStart"/>
      <w:r>
        <w:t>Matabicheras</w:t>
      </w:r>
      <w:proofErr w:type="spellEnd"/>
      <w:r>
        <w:t xml:space="preserve"> (</w:t>
      </w:r>
      <w:proofErr w:type="spellStart"/>
      <w:r>
        <w:t>antimyiasis</w:t>
      </w:r>
      <w:proofErr w:type="spellEnd"/>
      <w:r>
        <w:t>) sprays.</w:t>
      </w:r>
    </w:p>
    <w:p w:rsidR="00D97D20" w:rsidRDefault="00156D25" w:rsidP="00237DD2">
      <w:pPr>
        <w:pStyle w:val="ListParagraph"/>
        <w:numPr>
          <w:ilvl w:val="0"/>
          <w:numId w:val="1"/>
        </w:numPr>
      </w:pPr>
      <w:r>
        <w:t>The calf was then taken off of C.R.I. anesthesia and transported to a holding pen, where she was observed until she was able to stand firmly and unaided.</w:t>
      </w:r>
    </w:p>
    <w:sectPr w:rsidR="00D97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350A"/>
    <w:multiLevelType w:val="hybridMultilevel"/>
    <w:tmpl w:val="F2B463B0"/>
    <w:lvl w:ilvl="0" w:tplc="4934AF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CA"/>
    <w:rsid w:val="00005E2B"/>
    <w:rsid w:val="00036151"/>
    <w:rsid w:val="00044E3B"/>
    <w:rsid w:val="00065B34"/>
    <w:rsid w:val="000870BA"/>
    <w:rsid w:val="0014706A"/>
    <w:rsid w:val="00156D25"/>
    <w:rsid w:val="00176BA6"/>
    <w:rsid w:val="001B32CA"/>
    <w:rsid w:val="001D37C6"/>
    <w:rsid w:val="00237505"/>
    <w:rsid w:val="00237DD2"/>
    <w:rsid w:val="002534C0"/>
    <w:rsid w:val="00280860"/>
    <w:rsid w:val="00313749"/>
    <w:rsid w:val="003D11FB"/>
    <w:rsid w:val="003F29FE"/>
    <w:rsid w:val="0044501A"/>
    <w:rsid w:val="00471236"/>
    <w:rsid w:val="00490E7E"/>
    <w:rsid w:val="005C603B"/>
    <w:rsid w:val="0060575F"/>
    <w:rsid w:val="006623A0"/>
    <w:rsid w:val="0076283A"/>
    <w:rsid w:val="00781E1C"/>
    <w:rsid w:val="007E66FB"/>
    <w:rsid w:val="00812F9C"/>
    <w:rsid w:val="008C3186"/>
    <w:rsid w:val="00922E7F"/>
    <w:rsid w:val="009510BC"/>
    <w:rsid w:val="009C625D"/>
    <w:rsid w:val="00A10B26"/>
    <w:rsid w:val="00A90059"/>
    <w:rsid w:val="00AC4598"/>
    <w:rsid w:val="00B168A2"/>
    <w:rsid w:val="00BC1069"/>
    <w:rsid w:val="00C0770C"/>
    <w:rsid w:val="00C44588"/>
    <w:rsid w:val="00C473F7"/>
    <w:rsid w:val="00D23CDA"/>
    <w:rsid w:val="00D97D20"/>
    <w:rsid w:val="00DB4E3D"/>
    <w:rsid w:val="00E424FF"/>
    <w:rsid w:val="00E46463"/>
    <w:rsid w:val="00EE0877"/>
    <w:rsid w:val="00F8798F"/>
    <w:rsid w:val="00F9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1BB74-7A0A-4F95-B518-4D3B4DC2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2017-10-20T23:45:00Z</dcterms:created>
  <dcterms:modified xsi:type="dcterms:W3CDTF">2017-10-22T18:49:00Z</dcterms:modified>
</cp:coreProperties>
</file>