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971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2790"/>
        <w:gridCol w:w="1260"/>
        <w:gridCol w:w="3510"/>
        <w:gridCol w:w="1710"/>
        <w:gridCol w:w="2250"/>
        <w:gridCol w:w="2160"/>
        <w:gridCol w:w="2880"/>
        <w:gridCol w:w="3150"/>
      </w:tblGrid>
      <w:tr w:rsidR="001E569D" w:rsidRPr="006F6D5E" w:rsidTr="006F6D5E">
        <w:trPr>
          <w:trHeight w:val="741"/>
        </w:trPr>
        <w:tc>
          <w:tcPr>
            <w:tcW w:w="2790" w:type="dxa"/>
          </w:tcPr>
          <w:p w:rsidR="001E569D" w:rsidRPr="006F6D5E" w:rsidRDefault="001E569D" w:rsidP="00DA75A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F6D5E">
              <w:rPr>
                <w:rFonts w:asciiTheme="majorHAnsi" w:hAnsiTheme="majorHAnsi"/>
                <w:b/>
                <w:sz w:val="22"/>
                <w:szCs w:val="22"/>
              </w:rPr>
              <w:t>Drug</w:t>
            </w:r>
          </w:p>
        </w:tc>
        <w:tc>
          <w:tcPr>
            <w:tcW w:w="1260" w:type="dxa"/>
          </w:tcPr>
          <w:p w:rsidR="001E569D" w:rsidRPr="006F6D5E" w:rsidRDefault="001E569D" w:rsidP="00DA75A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F6D5E">
              <w:rPr>
                <w:rFonts w:asciiTheme="majorHAnsi" w:hAnsiTheme="majorHAnsi"/>
                <w:b/>
                <w:sz w:val="22"/>
                <w:szCs w:val="22"/>
              </w:rPr>
              <w:t>Species</w:t>
            </w:r>
          </w:p>
        </w:tc>
        <w:tc>
          <w:tcPr>
            <w:tcW w:w="3510" w:type="dxa"/>
          </w:tcPr>
          <w:p w:rsidR="001E569D" w:rsidRPr="006F6D5E" w:rsidRDefault="001E569D" w:rsidP="00DA75A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F6D5E">
              <w:rPr>
                <w:rFonts w:asciiTheme="majorHAnsi" w:hAnsiTheme="majorHAnsi"/>
                <w:b/>
                <w:sz w:val="22"/>
                <w:szCs w:val="22"/>
              </w:rPr>
              <w:t>Indications</w:t>
            </w:r>
          </w:p>
        </w:tc>
        <w:tc>
          <w:tcPr>
            <w:tcW w:w="1710" w:type="dxa"/>
          </w:tcPr>
          <w:p w:rsidR="001E569D" w:rsidRPr="006F6D5E" w:rsidRDefault="001E569D" w:rsidP="00DA75A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F6D5E">
              <w:rPr>
                <w:rFonts w:asciiTheme="majorHAnsi" w:hAnsiTheme="majorHAnsi"/>
                <w:b/>
                <w:sz w:val="22"/>
                <w:szCs w:val="22"/>
              </w:rPr>
              <w:t>Therapeutic Dose</w:t>
            </w:r>
          </w:p>
        </w:tc>
        <w:tc>
          <w:tcPr>
            <w:tcW w:w="2250" w:type="dxa"/>
          </w:tcPr>
          <w:p w:rsidR="001E569D" w:rsidRPr="006F6D5E" w:rsidRDefault="001E569D" w:rsidP="00DA75A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F6D5E">
              <w:rPr>
                <w:rFonts w:asciiTheme="majorHAnsi" w:hAnsiTheme="majorHAnsi"/>
                <w:b/>
                <w:sz w:val="22"/>
                <w:szCs w:val="22"/>
              </w:rPr>
              <w:t>Lethal Dose/ Toxicity</w:t>
            </w:r>
          </w:p>
        </w:tc>
        <w:tc>
          <w:tcPr>
            <w:tcW w:w="2160" w:type="dxa"/>
          </w:tcPr>
          <w:p w:rsidR="001E569D" w:rsidRPr="006F6D5E" w:rsidRDefault="001E569D" w:rsidP="00DA75A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F6D5E">
              <w:rPr>
                <w:rFonts w:asciiTheme="majorHAnsi" w:hAnsiTheme="majorHAnsi"/>
                <w:b/>
                <w:sz w:val="22"/>
                <w:szCs w:val="22"/>
              </w:rPr>
              <w:t>Contraindications</w:t>
            </w:r>
          </w:p>
        </w:tc>
        <w:tc>
          <w:tcPr>
            <w:tcW w:w="2880" w:type="dxa"/>
          </w:tcPr>
          <w:p w:rsidR="001E569D" w:rsidRPr="006F6D5E" w:rsidRDefault="001E569D" w:rsidP="00DA75A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F6D5E">
              <w:rPr>
                <w:rFonts w:asciiTheme="majorHAnsi" w:hAnsiTheme="majorHAnsi"/>
                <w:b/>
                <w:sz w:val="22"/>
                <w:szCs w:val="22"/>
              </w:rPr>
              <w:t>Pharmacology</w:t>
            </w:r>
          </w:p>
        </w:tc>
        <w:tc>
          <w:tcPr>
            <w:tcW w:w="3150" w:type="dxa"/>
          </w:tcPr>
          <w:p w:rsidR="001E569D" w:rsidRPr="006F6D5E" w:rsidRDefault="001E569D" w:rsidP="00DA75AC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F6D5E">
              <w:rPr>
                <w:rFonts w:asciiTheme="majorHAnsi" w:hAnsiTheme="majorHAnsi"/>
                <w:b/>
                <w:sz w:val="22"/>
                <w:szCs w:val="22"/>
              </w:rPr>
              <w:t>Adverse Effects</w:t>
            </w:r>
          </w:p>
        </w:tc>
      </w:tr>
      <w:tr w:rsidR="001E569D" w:rsidRPr="006F6D5E" w:rsidTr="006F6D5E">
        <w:trPr>
          <w:trHeight w:val="8063"/>
        </w:trPr>
        <w:tc>
          <w:tcPr>
            <w:tcW w:w="2790" w:type="dxa"/>
          </w:tcPr>
          <w:p w:rsidR="001E569D" w:rsidRPr="006F6D5E" w:rsidRDefault="006F6D5E">
            <w:pPr>
              <w:rPr>
                <w:rFonts w:asciiTheme="majorHAnsi" w:hAnsiTheme="majorHAnsi"/>
                <w:sz w:val="22"/>
                <w:szCs w:val="22"/>
              </w:rPr>
            </w:pPr>
            <w:r w:rsidRPr="006F6D5E">
              <w:rPr>
                <w:rFonts w:asciiTheme="majorHAnsi" w:hAnsiTheme="majorHAnsi"/>
                <w:sz w:val="22"/>
                <w:szCs w:val="22"/>
              </w:rPr>
              <w:t>Doramec® L.A.</w:t>
            </w:r>
          </w:p>
          <w:p w:rsidR="006F6D5E" w:rsidRPr="006F6D5E" w:rsidRDefault="006F6D5E" w:rsidP="006F6D5E">
            <w:pPr>
              <w:ind w:left="-108"/>
              <w:rPr>
                <w:rFonts w:asciiTheme="majorHAnsi" w:hAnsiTheme="majorHAnsi"/>
                <w:sz w:val="22"/>
                <w:szCs w:val="22"/>
              </w:rPr>
            </w:pPr>
            <w:r w:rsidRPr="006F6D5E">
              <w:rPr>
                <w:rFonts w:asciiTheme="majorHAnsi" w:hAnsiTheme="majorHAnsi"/>
                <w:noProof/>
                <w:sz w:val="22"/>
                <w:szCs w:val="22"/>
                <w:lang w:val="en-US"/>
              </w:rPr>
              <w:drawing>
                <wp:inline distT="0" distB="0" distL="0" distR="0">
                  <wp:extent cx="1724690" cy="2732567"/>
                  <wp:effectExtent l="19050" t="0" r="886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5074" t="21951" r="16076" b="219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690" cy="27325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</w:tcPr>
          <w:p w:rsidR="001E569D" w:rsidRPr="006F6D5E" w:rsidRDefault="006F6D5E">
            <w:pPr>
              <w:rPr>
                <w:rFonts w:asciiTheme="majorHAnsi" w:hAnsiTheme="majorHAnsi"/>
                <w:sz w:val="22"/>
                <w:szCs w:val="22"/>
              </w:rPr>
            </w:pPr>
            <w:r w:rsidRPr="006F6D5E">
              <w:rPr>
                <w:rFonts w:asciiTheme="majorHAnsi" w:hAnsiTheme="majorHAnsi"/>
                <w:sz w:val="22"/>
                <w:szCs w:val="22"/>
              </w:rPr>
              <w:t>Cattle, camelids, sheep, goats, pigs</w:t>
            </w:r>
          </w:p>
        </w:tc>
        <w:tc>
          <w:tcPr>
            <w:tcW w:w="3510" w:type="dxa"/>
          </w:tcPr>
          <w:p w:rsidR="001E569D" w:rsidRPr="006F6D5E" w:rsidRDefault="006F6D5E" w:rsidP="001E569D">
            <w:pPr>
              <w:autoSpaceDE w:val="0"/>
              <w:autoSpaceDN w:val="0"/>
              <w:adjustRightInd w:val="0"/>
              <w:rPr>
                <w:rFonts w:asciiTheme="majorHAnsi" w:hAnsiTheme="majorHAnsi" w:cs="Times-Roman"/>
                <w:sz w:val="22"/>
                <w:szCs w:val="22"/>
                <w:lang w:val="en-US"/>
              </w:rPr>
            </w:pPr>
            <w:r w:rsidRPr="006F6D5E">
              <w:rPr>
                <w:rFonts w:asciiTheme="majorHAnsi" w:hAnsiTheme="majorHAnsi" w:cs="Times-Roman"/>
                <w:sz w:val="22"/>
                <w:szCs w:val="22"/>
                <w:lang w:val="en-US"/>
              </w:rPr>
              <w:t xml:space="preserve">Treatment and control of internal parasitosis (gastrointestinal and pulmonary nematodes), ticks and mange (and other ectoparasites). Its spectrum includes: </w:t>
            </w:r>
            <w:r w:rsidRPr="00D84F01">
              <w:rPr>
                <w:rFonts w:asciiTheme="majorHAnsi" w:hAnsiTheme="majorHAnsi" w:cs="Times-Roman"/>
                <w:i/>
                <w:sz w:val="22"/>
                <w:szCs w:val="22"/>
                <w:lang w:val="en-US"/>
              </w:rPr>
              <w:t>Haemonchus spp., Ostertagia spp., Trichostrongylus spp, Cooperia spp., Oesophagostomum spp., Dyctiocaulus viviparus, Dermatobia hominis, Boophilus microplus, Psoroptes bovis</w:t>
            </w:r>
            <w:r w:rsidRPr="006F6D5E">
              <w:rPr>
                <w:rFonts w:asciiTheme="majorHAnsi" w:hAnsiTheme="majorHAnsi" w:cs="Times-Roman"/>
                <w:sz w:val="22"/>
                <w:szCs w:val="22"/>
                <w:lang w:val="en-US"/>
              </w:rPr>
              <w:t>, among many other internal and external parasites. Its oleous carrier confers to Doramec® L.A. a slow and prolonged liberation, extending its action up to 42 days.</w:t>
            </w:r>
          </w:p>
        </w:tc>
        <w:tc>
          <w:tcPr>
            <w:tcW w:w="1710" w:type="dxa"/>
          </w:tcPr>
          <w:p w:rsidR="006F6D5E" w:rsidRPr="006F6D5E" w:rsidRDefault="006F6D5E" w:rsidP="00882DD1">
            <w:pPr>
              <w:rPr>
                <w:rFonts w:asciiTheme="majorHAnsi" w:hAnsiTheme="majorHAnsi" w:cs="Times-Roman"/>
                <w:sz w:val="22"/>
                <w:szCs w:val="22"/>
                <w:lang w:val="en-US"/>
              </w:rPr>
            </w:pPr>
            <w:r w:rsidRPr="006F6D5E">
              <w:rPr>
                <w:rFonts w:asciiTheme="majorHAnsi" w:hAnsiTheme="majorHAnsi" w:cs="Times-Roman"/>
                <w:sz w:val="22"/>
                <w:szCs w:val="22"/>
                <w:lang w:val="en-US"/>
              </w:rPr>
              <w:t>Cattle, camelids, sheep, goats:</w:t>
            </w:r>
          </w:p>
          <w:p w:rsidR="006F6D5E" w:rsidRPr="006F6D5E" w:rsidRDefault="006F6D5E" w:rsidP="00882DD1">
            <w:pPr>
              <w:rPr>
                <w:rFonts w:asciiTheme="majorHAnsi" w:hAnsiTheme="majorHAnsi" w:cs="Times-Roman"/>
                <w:sz w:val="22"/>
                <w:szCs w:val="22"/>
                <w:lang w:val="en-US"/>
              </w:rPr>
            </w:pPr>
            <w:r w:rsidRPr="006F6D5E">
              <w:rPr>
                <w:rFonts w:asciiTheme="majorHAnsi" w:hAnsiTheme="majorHAnsi" w:cs="Times-Roman"/>
                <w:sz w:val="22"/>
                <w:szCs w:val="22"/>
                <w:lang w:val="en-US"/>
              </w:rPr>
              <w:t>1 mL/50 kg of b.w.</w:t>
            </w:r>
          </w:p>
          <w:p w:rsidR="001E569D" w:rsidRPr="006F6D5E" w:rsidRDefault="006F6D5E" w:rsidP="00882DD1">
            <w:pPr>
              <w:rPr>
                <w:rFonts w:asciiTheme="majorHAnsi" w:hAnsiTheme="majorHAnsi" w:cs="Times-Roman"/>
                <w:sz w:val="22"/>
                <w:szCs w:val="22"/>
                <w:lang w:val="en-US"/>
              </w:rPr>
            </w:pPr>
            <w:r w:rsidRPr="006F6D5E">
              <w:rPr>
                <w:rFonts w:asciiTheme="majorHAnsi" w:hAnsiTheme="majorHAnsi" w:cs="Times-Roman"/>
                <w:sz w:val="22"/>
                <w:szCs w:val="22"/>
                <w:lang w:val="en-US"/>
              </w:rPr>
              <w:t xml:space="preserve"> pigs: 1 mL/33 kg of b.w. Apply through intramuscular or subcutaneous route.</w:t>
            </w:r>
          </w:p>
        </w:tc>
        <w:tc>
          <w:tcPr>
            <w:tcW w:w="2250" w:type="dxa"/>
          </w:tcPr>
          <w:p w:rsidR="006F6D5E" w:rsidRPr="006F6D5E" w:rsidRDefault="006F6D5E" w:rsidP="006F6D5E">
            <w:pPr>
              <w:autoSpaceDE w:val="0"/>
              <w:autoSpaceDN w:val="0"/>
              <w:adjustRightInd w:val="0"/>
              <w:rPr>
                <w:rFonts w:asciiTheme="majorHAnsi" w:hAnsiTheme="majorHAnsi" w:cs="Times-Roman"/>
                <w:sz w:val="22"/>
                <w:szCs w:val="22"/>
                <w:lang w:val="en-US"/>
              </w:rPr>
            </w:pPr>
            <w:r w:rsidRPr="006F6D5E">
              <w:rPr>
                <w:rFonts w:asciiTheme="majorHAnsi" w:hAnsiTheme="majorHAnsi" w:cs="Times-Roman"/>
                <w:sz w:val="22"/>
                <w:szCs w:val="22"/>
                <w:lang w:val="en-US"/>
              </w:rPr>
              <w:t>In field trials, no toxic signs were seen in cattle given up to 25X the recommended</w:t>
            </w:r>
          </w:p>
          <w:p w:rsidR="006F6D5E" w:rsidRPr="006F6D5E" w:rsidRDefault="006F6D5E" w:rsidP="006F6D5E">
            <w:pPr>
              <w:autoSpaceDE w:val="0"/>
              <w:autoSpaceDN w:val="0"/>
              <w:adjustRightInd w:val="0"/>
              <w:rPr>
                <w:rFonts w:asciiTheme="majorHAnsi" w:hAnsiTheme="majorHAnsi" w:cs="Times-Roman"/>
                <w:sz w:val="22"/>
                <w:szCs w:val="22"/>
                <w:lang w:val="en-US"/>
              </w:rPr>
            </w:pPr>
            <w:r w:rsidRPr="006F6D5E">
              <w:rPr>
                <w:rFonts w:asciiTheme="majorHAnsi" w:hAnsiTheme="majorHAnsi" w:cs="Times-Roman"/>
                <w:sz w:val="22"/>
                <w:szCs w:val="22"/>
                <w:lang w:val="en-US"/>
              </w:rPr>
              <w:t>dose. In breeding animals (bulls, and cows in early and late pregnancy), a dose 3 times the</w:t>
            </w:r>
          </w:p>
          <w:p w:rsidR="001E569D" w:rsidRPr="006F6D5E" w:rsidRDefault="006F6D5E" w:rsidP="006F6D5E">
            <w:pPr>
              <w:rPr>
                <w:rFonts w:asciiTheme="majorHAnsi" w:hAnsiTheme="majorHAnsi" w:cs="Times-Roman"/>
                <w:sz w:val="22"/>
                <w:szCs w:val="22"/>
                <w:lang w:val="en-US"/>
              </w:rPr>
            </w:pPr>
            <w:r w:rsidRPr="006F6D5E">
              <w:rPr>
                <w:rFonts w:asciiTheme="majorHAnsi" w:hAnsiTheme="majorHAnsi" w:cs="Times-Roman"/>
                <w:sz w:val="22"/>
                <w:szCs w:val="22"/>
                <w:lang w:val="en-US"/>
              </w:rPr>
              <w:t>recommended dose had no effect on breeding performance.</w:t>
            </w:r>
          </w:p>
        </w:tc>
        <w:tc>
          <w:tcPr>
            <w:tcW w:w="2160" w:type="dxa"/>
          </w:tcPr>
          <w:p w:rsidR="001E569D" w:rsidRPr="006F6D5E" w:rsidRDefault="006F6D5E" w:rsidP="00D84F01">
            <w:pPr>
              <w:autoSpaceDE w:val="0"/>
              <w:autoSpaceDN w:val="0"/>
              <w:adjustRightInd w:val="0"/>
              <w:rPr>
                <w:rFonts w:asciiTheme="majorHAnsi" w:hAnsiTheme="majorHAnsi" w:cs="Times-Roman"/>
                <w:sz w:val="22"/>
                <w:szCs w:val="22"/>
                <w:lang w:val="en-US"/>
              </w:rPr>
            </w:pPr>
            <w:r w:rsidRPr="006F6D5E">
              <w:rPr>
                <w:rFonts w:asciiTheme="majorHAnsi" w:hAnsiTheme="majorHAnsi" w:cs="Times-Roman"/>
                <w:sz w:val="22"/>
                <w:szCs w:val="22"/>
                <w:lang w:val="en-US"/>
              </w:rPr>
              <w:t>Studies performed in breeding animals (bulls, and cows in early and late pregnancy), at a dose</w:t>
            </w:r>
            <w:r w:rsidR="00D84F01">
              <w:rPr>
                <w:rFonts w:asciiTheme="majorHAnsi" w:hAnsiTheme="majorHAnsi" w:cs="Times-Roman"/>
                <w:sz w:val="22"/>
                <w:szCs w:val="22"/>
                <w:lang w:val="en-US"/>
              </w:rPr>
              <w:t xml:space="preserve"> </w:t>
            </w:r>
            <w:r w:rsidRPr="006F6D5E">
              <w:rPr>
                <w:rFonts w:asciiTheme="majorHAnsi" w:hAnsiTheme="majorHAnsi" w:cs="Times-Roman"/>
                <w:sz w:val="22"/>
                <w:szCs w:val="22"/>
                <w:lang w:val="en-US"/>
              </w:rPr>
              <w:t>of 3X recommended had no effect on breeding performance.</w:t>
            </w:r>
          </w:p>
        </w:tc>
        <w:tc>
          <w:tcPr>
            <w:tcW w:w="2880" w:type="dxa"/>
          </w:tcPr>
          <w:p w:rsidR="006F6D5E" w:rsidRPr="006F6D5E" w:rsidRDefault="006F6D5E" w:rsidP="006F6D5E">
            <w:pPr>
              <w:autoSpaceDE w:val="0"/>
              <w:autoSpaceDN w:val="0"/>
              <w:adjustRightInd w:val="0"/>
              <w:rPr>
                <w:rFonts w:asciiTheme="majorHAnsi" w:hAnsiTheme="majorHAnsi" w:cs="Times-Roman"/>
                <w:sz w:val="22"/>
                <w:szCs w:val="22"/>
                <w:lang w:val="en-US"/>
              </w:rPr>
            </w:pPr>
            <w:r w:rsidRPr="006F6D5E">
              <w:rPr>
                <w:rFonts w:asciiTheme="majorHAnsi" w:hAnsiTheme="majorHAnsi" w:cs="Times-Roman"/>
                <w:sz w:val="22"/>
                <w:szCs w:val="22"/>
                <w:lang w:val="en-US"/>
              </w:rPr>
              <w:t>The primary mode of action of avermectins like doramectin is to affect chloride</w:t>
            </w:r>
            <w:r w:rsidR="00D84F01">
              <w:rPr>
                <w:rFonts w:asciiTheme="majorHAnsi" w:hAnsiTheme="majorHAnsi" w:cs="Times-Roman"/>
                <w:sz w:val="22"/>
                <w:szCs w:val="22"/>
                <w:lang w:val="en-US"/>
              </w:rPr>
              <w:t xml:space="preserve"> </w:t>
            </w:r>
            <w:r w:rsidRPr="006F6D5E">
              <w:rPr>
                <w:rFonts w:asciiTheme="majorHAnsi" w:hAnsiTheme="majorHAnsi" w:cs="Times-Roman"/>
                <w:sz w:val="22"/>
                <w:szCs w:val="22"/>
                <w:lang w:val="en-US"/>
              </w:rPr>
              <w:t>ion channel activity in the nervous system of nematodes and arthropods. Doramectin binds to</w:t>
            </w:r>
          </w:p>
          <w:p w:rsidR="006F6D5E" w:rsidRPr="006F6D5E" w:rsidRDefault="006F6D5E" w:rsidP="006F6D5E">
            <w:pPr>
              <w:autoSpaceDE w:val="0"/>
              <w:autoSpaceDN w:val="0"/>
              <w:adjustRightInd w:val="0"/>
              <w:rPr>
                <w:rFonts w:asciiTheme="majorHAnsi" w:hAnsiTheme="majorHAnsi" w:cs="Times-Roman"/>
                <w:sz w:val="22"/>
                <w:szCs w:val="22"/>
                <w:lang w:val="en-US"/>
              </w:rPr>
            </w:pPr>
            <w:r w:rsidRPr="006F6D5E">
              <w:rPr>
                <w:rFonts w:asciiTheme="majorHAnsi" w:hAnsiTheme="majorHAnsi" w:cs="Times-Roman"/>
                <w:sz w:val="22"/>
                <w:szCs w:val="22"/>
                <w:lang w:val="en-US"/>
              </w:rPr>
              <w:t>receptors that increase membrane permeability to chloride ions. This inhibits the electrical</w:t>
            </w:r>
            <w:r w:rsidR="00D84F01">
              <w:rPr>
                <w:rFonts w:asciiTheme="majorHAnsi" w:hAnsiTheme="majorHAnsi" w:cs="Times-Roman"/>
                <w:sz w:val="22"/>
                <w:szCs w:val="22"/>
                <w:lang w:val="en-US"/>
              </w:rPr>
              <w:t xml:space="preserve"> </w:t>
            </w:r>
            <w:r w:rsidRPr="006F6D5E">
              <w:rPr>
                <w:rFonts w:asciiTheme="majorHAnsi" w:hAnsiTheme="majorHAnsi" w:cs="Times-Roman"/>
                <w:sz w:val="22"/>
                <w:szCs w:val="22"/>
                <w:lang w:val="en-US"/>
              </w:rPr>
              <w:t>activity of nerve cells in nematodes and muscle cells in arthropods and causes paralysis and</w:t>
            </w:r>
            <w:r w:rsidR="00D84F01">
              <w:rPr>
                <w:rFonts w:asciiTheme="majorHAnsi" w:hAnsiTheme="majorHAnsi" w:cs="Times-Roman"/>
                <w:sz w:val="22"/>
                <w:szCs w:val="22"/>
                <w:lang w:val="en-US"/>
              </w:rPr>
              <w:t xml:space="preserve"> </w:t>
            </w:r>
            <w:r w:rsidRPr="006F6D5E">
              <w:rPr>
                <w:rFonts w:asciiTheme="majorHAnsi" w:hAnsiTheme="majorHAnsi" w:cs="Times-Roman"/>
                <w:sz w:val="22"/>
                <w:szCs w:val="22"/>
                <w:lang w:val="en-US"/>
              </w:rPr>
              <w:t>death of the parasites. Avermectins also enhance the release of gamma amino butyric acid</w:t>
            </w:r>
          </w:p>
          <w:p w:rsidR="006F6D5E" w:rsidRPr="006F6D5E" w:rsidRDefault="006F6D5E" w:rsidP="006F6D5E">
            <w:pPr>
              <w:autoSpaceDE w:val="0"/>
              <w:autoSpaceDN w:val="0"/>
              <w:adjustRightInd w:val="0"/>
              <w:rPr>
                <w:rFonts w:asciiTheme="majorHAnsi" w:hAnsiTheme="majorHAnsi" w:cs="Times-Roman"/>
                <w:sz w:val="22"/>
                <w:szCs w:val="22"/>
                <w:lang w:val="en-US"/>
              </w:rPr>
            </w:pPr>
            <w:r w:rsidRPr="006F6D5E">
              <w:rPr>
                <w:rFonts w:asciiTheme="majorHAnsi" w:hAnsiTheme="majorHAnsi" w:cs="Times-Roman"/>
                <w:sz w:val="22"/>
                <w:szCs w:val="22"/>
                <w:lang w:val="en-US"/>
              </w:rPr>
              <w:t>(GABA) at presynaptic neurons. GABA acts as an inhibitory neurotransmitter and blocks the</w:t>
            </w:r>
            <w:r w:rsidR="00D84F01">
              <w:rPr>
                <w:rFonts w:asciiTheme="majorHAnsi" w:hAnsiTheme="majorHAnsi" w:cs="Times-Roman"/>
                <w:sz w:val="22"/>
                <w:szCs w:val="22"/>
                <w:lang w:val="en-US"/>
              </w:rPr>
              <w:t xml:space="preserve"> </w:t>
            </w:r>
            <w:bookmarkStart w:id="0" w:name="_GoBack"/>
            <w:bookmarkEnd w:id="0"/>
            <w:r w:rsidRPr="006F6D5E">
              <w:rPr>
                <w:rFonts w:asciiTheme="majorHAnsi" w:hAnsiTheme="majorHAnsi" w:cs="Times-Roman"/>
                <w:sz w:val="22"/>
                <w:szCs w:val="22"/>
                <w:lang w:val="en-US"/>
              </w:rPr>
              <w:t>post-synaptic stimulation of the adjacent neuron in nematodes or the muscle fiber in arthropods.</w:t>
            </w:r>
          </w:p>
          <w:p w:rsidR="006F6D5E" w:rsidRPr="006F6D5E" w:rsidRDefault="006F6D5E" w:rsidP="006F6D5E">
            <w:pPr>
              <w:autoSpaceDE w:val="0"/>
              <w:autoSpaceDN w:val="0"/>
              <w:adjustRightInd w:val="0"/>
              <w:rPr>
                <w:rFonts w:asciiTheme="majorHAnsi" w:hAnsiTheme="majorHAnsi" w:cs="Times-Roman"/>
                <w:sz w:val="22"/>
                <w:szCs w:val="22"/>
                <w:lang w:val="en-US"/>
              </w:rPr>
            </w:pPr>
            <w:r w:rsidRPr="006F6D5E">
              <w:rPr>
                <w:rFonts w:asciiTheme="majorHAnsi" w:hAnsiTheme="majorHAnsi" w:cs="Times-Roman"/>
                <w:sz w:val="22"/>
                <w:szCs w:val="22"/>
                <w:lang w:val="en-US"/>
              </w:rPr>
              <w:t>Avermectins are generally not toxic to mammals as they do not have glutamate-gated chloride</w:t>
            </w:r>
          </w:p>
          <w:p w:rsidR="006F6D5E" w:rsidRPr="006F6D5E" w:rsidRDefault="006F6D5E" w:rsidP="006F6D5E">
            <w:pPr>
              <w:autoSpaceDE w:val="0"/>
              <w:autoSpaceDN w:val="0"/>
              <w:adjustRightInd w:val="0"/>
              <w:rPr>
                <w:rFonts w:asciiTheme="majorHAnsi" w:hAnsiTheme="majorHAnsi" w:cs="Times-Roman"/>
                <w:sz w:val="22"/>
                <w:szCs w:val="22"/>
                <w:lang w:val="en-US"/>
              </w:rPr>
            </w:pPr>
            <w:r w:rsidRPr="006F6D5E">
              <w:rPr>
                <w:rFonts w:asciiTheme="majorHAnsi" w:hAnsiTheme="majorHAnsi" w:cs="Times-Roman"/>
                <w:sz w:val="22"/>
                <w:szCs w:val="22"/>
                <w:lang w:val="en-US"/>
              </w:rPr>
              <w:t>channels and these compounds do not readily cross the blood-brain barrier where mammalian</w:t>
            </w:r>
          </w:p>
          <w:p w:rsidR="001E569D" w:rsidRPr="006F6D5E" w:rsidRDefault="006F6D5E" w:rsidP="006F6D5E">
            <w:pPr>
              <w:rPr>
                <w:rFonts w:asciiTheme="majorHAnsi" w:hAnsiTheme="majorHAnsi" w:cs="Times-Roman"/>
                <w:sz w:val="22"/>
                <w:szCs w:val="22"/>
                <w:lang w:val="en-US"/>
              </w:rPr>
            </w:pPr>
            <w:r w:rsidRPr="006F6D5E">
              <w:rPr>
                <w:rFonts w:asciiTheme="majorHAnsi" w:hAnsiTheme="majorHAnsi" w:cs="Times-Roman"/>
                <w:sz w:val="22"/>
                <w:szCs w:val="22"/>
                <w:lang w:val="en-US"/>
              </w:rPr>
              <w:t>GABA receptors occur.</w:t>
            </w:r>
          </w:p>
        </w:tc>
        <w:tc>
          <w:tcPr>
            <w:tcW w:w="3150" w:type="dxa"/>
          </w:tcPr>
          <w:p w:rsidR="001E569D" w:rsidRPr="006F6D5E" w:rsidRDefault="006F6D5E" w:rsidP="006F6D5E">
            <w:pPr>
              <w:autoSpaceDE w:val="0"/>
              <w:autoSpaceDN w:val="0"/>
              <w:adjustRightInd w:val="0"/>
              <w:rPr>
                <w:rFonts w:asciiTheme="majorHAnsi" w:hAnsiTheme="majorHAnsi" w:cs="Times-Roman"/>
                <w:sz w:val="22"/>
                <w:szCs w:val="22"/>
                <w:lang w:val="en-US"/>
              </w:rPr>
            </w:pPr>
            <w:r w:rsidRPr="006F6D5E">
              <w:rPr>
                <w:rFonts w:asciiTheme="majorHAnsi" w:hAnsiTheme="majorHAnsi" w:cs="Times-Roman"/>
                <w:sz w:val="22"/>
                <w:szCs w:val="22"/>
                <w:lang w:val="en-US"/>
              </w:rPr>
              <w:t>No listed adverse effects. Intramuscular injections may have a higher incidence of injection site blemishes at slaughter than do subcutaneous injections.</w:t>
            </w:r>
          </w:p>
        </w:tc>
      </w:tr>
    </w:tbl>
    <w:p w:rsidR="001E569D" w:rsidRPr="006F6D5E" w:rsidRDefault="001E569D" w:rsidP="006F6D5E">
      <w:pPr>
        <w:rPr>
          <w:rFonts w:asciiTheme="majorHAnsi" w:hAnsiTheme="majorHAnsi"/>
          <w:sz w:val="22"/>
          <w:szCs w:val="22"/>
        </w:rPr>
      </w:pPr>
    </w:p>
    <w:p w:rsidR="006F6D5E" w:rsidRDefault="006F6D5E" w:rsidP="006F6D5E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2"/>
          <w:szCs w:val="22"/>
        </w:rPr>
      </w:pPr>
    </w:p>
    <w:sectPr w:rsidR="006F6D5E" w:rsidSect="001E569D">
      <w:pgSz w:w="20160" w:h="12240" w:orient="landscape" w:code="5"/>
      <w:pgMar w:top="360" w:right="720" w:bottom="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0FC" w:rsidRDefault="00B320FC" w:rsidP="001E569D">
      <w:pPr>
        <w:spacing w:after="0" w:line="240" w:lineRule="auto"/>
      </w:pPr>
      <w:r>
        <w:separator/>
      </w:r>
    </w:p>
  </w:endnote>
  <w:endnote w:type="continuationSeparator" w:id="0">
    <w:p w:rsidR="00B320FC" w:rsidRDefault="00B320FC" w:rsidP="001E5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0FC" w:rsidRDefault="00B320FC" w:rsidP="001E569D">
      <w:pPr>
        <w:spacing w:after="0" w:line="240" w:lineRule="auto"/>
      </w:pPr>
      <w:r>
        <w:separator/>
      </w:r>
    </w:p>
  </w:footnote>
  <w:footnote w:type="continuationSeparator" w:id="0">
    <w:p w:rsidR="00B320FC" w:rsidRDefault="00B320FC" w:rsidP="001E5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339FD"/>
    <w:multiLevelType w:val="hybridMultilevel"/>
    <w:tmpl w:val="DD72E2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936F2"/>
    <w:multiLevelType w:val="hybridMultilevel"/>
    <w:tmpl w:val="BEB84560"/>
    <w:lvl w:ilvl="0" w:tplc="DA964D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51616"/>
    <w:multiLevelType w:val="hybridMultilevel"/>
    <w:tmpl w:val="9C26F350"/>
    <w:lvl w:ilvl="0" w:tplc="74848CD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4326E"/>
    <w:multiLevelType w:val="hybridMultilevel"/>
    <w:tmpl w:val="86EEB7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2DD1"/>
    <w:rsid w:val="00105717"/>
    <w:rsid w:val="001E0472"/>
    <w:rsid w:val="001E569D"/>
    <w:rsid w:val="0033317B"/>
    <w:rsid w:val="006D0689"/>
    <w:rsid w:val="006F6D5E"/>
    <w:rsid w:val="007D44F1"/>
    <w:rsid w:val="00882DD1"/>
    <w:rsid w:val="00892D2F"/>
    <w:rsid w:val="0093134A"/>
    <w:rsid w:val="00970CAA"/>
    <w:rsid w:val="009B4EC3"/>
    <w:rsid w:val="00A8557C"/>
    <w:rsid w:val="00AD7CE2"/>
    <w:rsid w:val="00B320FC"/>
    <w:rsid w:val="00D84F01"/>
    <w:rsid w:val="00ED0441"/>
    <w:rsid w:val="00EF14B5"/>
    <w:rsid w:val="00FE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C2BAC"/>
  <w15:docId w15:val="{851DE9F8-D14E-4EE7-B09E-4BE000792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0441"/>
    <w:rPr>
      <w:lang w:val="en-T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2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2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DD1"/>
    <w:rPr>
      <w:rFonts w:ascii="Tahoma" w:hAnsi="Tahoma" w:cs="Tahoma"/>
      <w:sz w:val="16"/>
      <w:szCs w:val="16"/>
      <w:lang w:val="en-TT"/>
    </w:rPr>
  </w:style>
  <w:style w:type="paragraph" w:styleId="NormalWeb">
    <w:name w:val="Normal (Web)"/>
    <w:basedOn w:val="Normal"/>
    <w:uiPriority w:val="99"/>
    <w:unhideWhenUsed/>
    <w:rsid w:val="00882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1E5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569D"/>
    <w:rPr>
      <w:lang w:val="en-TT"/>
    </w:rPr>
  </w:style>
  <w:style w:type="paragraph" w:styleId="Footer">
    <w:name w:val="footer"/>
    <w:basedOn w:val="Normal"/>
    <w:link w:val="FooterChar"/>
    <w:uiPriority w:val="99"/>
    <w:semiHidden/>
    <w:unhideWhenUsed/>
    <w:rsid w:val="001E5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569D"/>
    <w:rPr>
      <w:lang w:val="en-TT"/>
    </w:rPr>
  </w:style>
  <w:style w:type="paragraph" w:styleId="ListParagraph">
    <w:name w:val="List Paragraph"/>
    <w:basedOn w:val="Normal"/>
    <w:uiPriority w:val="34"/>
    <w:qFormat/>
    <w:rsid w:val="006F6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Suresh Maharaj</dc:creator>
  <cp:lastModifiedBy>Krystal Maharaj</cp:lastModifiedBy>
  <cp:revision>3</cp:revision>
  <dcterms:created xsi:type="dcterms:W3CDTF">2018-09-08T03:24:00Z</dcterms:created>
  <dcterms:modified xsi:type="dcterms:W3CDTF">2018-09-08T04:31:00Z</dcterms:modified>
</cp:coreProperties>
</file>