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1"/>
        <w:tblW w:w="19817" w:type="dxa"/>
        <w:tblInd w:w="-572" w:type="dxa"/>
        <w:tblLayout w:type="fixed"/>
        <w:tblLook w:val="04A0" w:firstRow="1" w:lastRow="0" w:firstColumn="1" w:lastColumn="0" w:noHBand="0" w:noVBand="1"/>
      </w:tblPr>
      <w:tblGrid>
        <w:gridCol w:w="3095"/>
        <w:gridCol w:w="1056"/>
        <w:gridCol w:w="2087"/>
        <w:gridCol w:w="3671"/>
        <w:gridCol w:w="4530"/>
        <w:gridCol w:w="2406"/>
        <w:gridCol w:w="2972"/>
      </w:tblGrid>
      <w:tr w:rsidR="00354098" w:rsidRPr="00354098" w:rsidTr="00354098">
        <w:trPr>
          <w:trHeight w:val="282"/>
        </w:trPr>
        <w:tc>
          <w:tcPr>
            <w:tcW w:w="3095" w:type="dxa"/>
          </w:tcPr>
          <w:p w:rsidR="00354098" w:rsidRPr="00642D7C" w:rsidRDefault="00354098" w:rsidP="00F85B1F">
            <w:pPr>
              <w:rPr>
                <w:rFonts w:eastAsia="Calibri" w:cs="Times New Roman"/>
                <w:b/>
                <w:sz w:val="22"/>
                <w:szCs w:val="22"/>
                <w:lang w:val="en-TT"/>
              </w:rPr>
            </w:pPr>
            <w:r w:rsidRPr="00642D7C">
              <w:rPr>
                <w:rFonts w:eastAsia="Calibri" w:cs="Times New Roman"/>
                <w:b/>
                <w:sz w:val="22"/>
                <w:szCs w:val="22"/>
                <w:lang w:val="en-TT"/>
              </w:rPr>
              <w:t>Drug</w:t>
            </w:r>
          </w:p>
        </w:tc>
        <w:tc>
          <w:tcPr>
            <w:tcW w:w="1056" w:type="dxa"/>
          </w:tcPr>
          <w:p w:rsidR="00354098" w:rsidRPr="00642D7C" w:rsidRDefault="00354098" w:rsidP="00F85B1F">
            <w:pPr>
              <w:rPr>
                <w:rFonts w:eastAsia="Calibri" w:cs="Times New Roman"/>
                <w:b/>
                <w:sz w:val="22"/>
                <w:szCs w:val="22"/>
                <w:lang w:val="en-TT"/>
              </w:rPr>
            </w:pPr>
            <w:r w:rsidRPr="00642D7C">
              <w:rPr>
                <w:rFonts w:eastAsia="Calibri" w:cs="Times New Roman"/>
                <w:b/>
                <w:sz w:val="22"/>
                <w:szCs w:val="22"/>
                <w:lang w:val="en-TT"/>
              </w:rPr>
              <w:t>Species</w:t>
            </w:r>
          </w:p>
        </w:tc>
        <w:tc>
          <w:tcPr>
            <w:tcW w:w="2087" w:type="dxa"/>
          </w:tcPr>
          <w:p w:rsidR="00354098" w:rsidRPr="00642D7C" w:rsidRDefault="00354098" w:rsidP="00F85B1F">
            <w:pPr>
              <w:rPr>
                <w:rFonts w:eastAsia="Calibri" w:cs="Times New Roman"/>
                <w:b/>
                <w:sz w:val="22"/>
                <w:szCs w:val="22"/>
                <w:lang w:val="en-TT"/>
              </w:rPr>
            </w:pPr>
            <w:r w:rsidRPr="00642D7C">
              <w:rPr>
                <w:rFonts w:eastAsia="Calibri" w:cs="Times New Roman"/>
                <w:b/>
                <w:sz w:val="22"/>
                <w:szCs w:val="22"/>
                <w:lang w:val="en-TT"/>
              </w:rPr>
              <w:t>Indications</w:t>
            </w:r>
          </w:p>
        </w:tc>
        <w:tc>
          <w:tcPr>
            <w:tcW w:w="3671" w:type="dxa"/>
          </w:tcPr>
          <w:p w:rsidR="00354098" w:rsidRPr="00642D7C" w:rsidRDefault="00354098" w:rsidP="00F85B1F">
            <w:pPr>
              <w:rPr>
                <w:rFonts w:eastAsia="Calibri" w:cs="Times New Roman"/>
                <w:b/>
                <w:sz w:val="22"/>
                <w:szCs w:val="22"/>
                <w:lang w:val="en-TT"/>
              </w:rPr>
            </w:pPr>
            <w:r w:rsidRPr="00642D7C">
              <w:rPr>
                <w:rFonts w:eastAsia="Calibri" w:cs="Times New Roman"/>
                <w:b/>
                <w:sz w:val="22"/>
                <w:szCs w:val="22"/>
                <w:lang w:val="en-TT"/>
              </w:rPr>
              <w:t>Therapeutic Dose</w:t>
            </w:r>
          </w:p>
        </w:tc>
        <w:tc>
          <w:tcPr>
            <w:tcW w:w="4530" w:type="dxa"/>
          </w:tcPr>
          <w:p w:rsidR="00354098" w:rsidRPr="00642D7C" w:rsidRDefault="00354098" w:rsidP="00F85B1F">
            <w:pPr>
              <w:rPr>
                <w:rFonts w:eastAsia="Calibri" w:cs="Times New Roman"/>
                <w:b/>
                <w:sz w:val="22"/>
                <w:szCs w:val="22"/>
                <w:lang w:val="en-TT"/>
              </w:rPr>
            </w:pPr>
            <w:r w:rsidRPr="00642D7C">
              <w:rPr>
                <w:rFonts w:eastAsia="Calibri" w:cs="Times New Roman"/>
                <w:b/>
                <w:sz w:val="22"/>
                <w:szCs w:val="22"/>
                <w:lang w:val="en-TT"/>
              </w:rPr>
              <w:t>Contraindications</w:t>
            </w:r>
          </w:p>
        </w:tc>
        <w:tc>
          <w:tcPr>
            <w:tcW w:w="2406" w:type="dxa"/>
          </w:tcPr>
          <w:p w:rsidR="00354098" w:rsidRPr="00642D7C" w:rsidRDefault="00354098" w:rsidP="00F85B1F">
            <w:pPr>
              <w:rPr>
                <w:rFonts w:eastAsia="Calibri" w:cs="Times New Roman"/>
                <w:b/>
                <w:sz w:val="22"/>
                <w:szCs w:val="22"/>
                <w:lang w:val="en-TT"/>
              </w:rPr>
            </w:pPr>
            <w:r w:rsidRPr="00642D7C">
              <w:rPr>
                <w:rFonts w:eastAsia="Calibri" w:cs="Times New Roman"/>
                <w:b/>
                <w:sz w:val="22"/>
                <w:szCs w:val="22"/>
                <w:lang w:val="en-TT"/>
              </w:rPr>
              <w:t>Pharmacology</w:t>
            </w:r>
          </w:p>
        </w:tc>
        <w:tc>
          <w:tcPr>
            <w:tcW w:w="2972" w:type="dxa"/>
          </w:tcPr>
          <w:p w:rsidR="00354098" w:rsidRPr="00642D7C" w:rsidRDefault="00354098" w:rsidP="00F85B1F">
            <w:pPr>
              <w:rPr>
                <w:rFonts w:eastAsia="Calibri" w:cs="Times New Roman"/>
                <w:b/>
                <w:sz w:val="22"/>
                <w:szCs w:val="22"/>
                <w:lang w:val="en-TT"/>
              </w:rPr>
            </w:pPr>
            <w:r w:rsidRPr="00642D7C">
              <w:rPr>
                <w:rFonts w:eastAsia="Calibri" w:cs="Times New Roman"/>
                <w:b/>
                <w:sz w:val="22"/>
                <w:szCs w:val="22"/>
                <w:lang w:val="en-TT"/>
              </w:rPr>
              <w:t>Adverse Effects</w:t>
            </w:r>
          </w:p>
        </w:tc>
      </w:tr>
      <w:tr w:rsidR="00354098" w:rsidRPr="00354098" w:rsidTr="00354098">
        <w:trPr>
          <w:trHeight w:val="10799"/>
        </w:trPr>
        <w:tc>
          <w:tcPr>
            <w:tcW w:w="3095" w:type="dxa"/>
          </w:tcPr>
          <w:p w:rsidR="00354098" w:rsidRDefault="00354098" w:rsidP="00354098">
            <w:pPr>
              <w:ind w:left="-108"/>
              <w:rPr>
                <w:sz w:val="22"/>
                <w:szCs w:val="22"/>
              </w:rPr>
            </w:pPr>
            <w:r w:rsidRPr="00354098">
              <w:rPr>
                <w:sz w:val="22"/>
                <w:szCs w:val="22"/>
              </w:rPr>
              <w:t>VEDCO Atropine Sulfate</w:t>
            </w:r>
          </w:p>
          <w:p w:rsidR="00853DD9" w:rsidRPr="00354098" w:rsidRDefault="00853DD9" w:rsidP="00354098">
            <w:pPr>
              <w:ind w:left="-108"/>
              <w:rPr>
                <w:sz w:val="22"/>
                <w:szCs w:val="22"/>
              </w:rPr>
            </w:pPr>
            <w:bookmarkStart w:id="0" w:name="_GoBack"/>
            <w:bookmarkEnd w:id="0"/>
          </w:p>
          <w:p w:rsidR="00354098" w:rsidRPr="00354098" w:rsidRDefault="00354098" w:rsidP="00354098">
            <w:pPr>
              <w:ind w:left="-108"/>
              <w:rPr>
                <w:sz w:val="22"/>
                <w:szCs w:val="22"/>
              </w:rPr>
            </w:pPr>
            <w:r w:rsidRPr="00354098">
              <w:rPr>
                <w:noProof/>
              </w:rPr>
              <w:drawing>
                <wp:inline distT="0" distB="0" distL="0" distR="0" wp14:anchorId="054C2F78" wp14:editId="56C5BC4D">
                  <wp:extent cx="1702872" cy="2375065"/>
                  <wp:effectExtent l="19050" t="0" r="0" b="0"/>
                  <wp:docPr id="9" name="Picture 2" descr="E:\Dr. Diptee Introduction and Lab 1\las\Drugs\IMG_20180904_1457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Dr. Diptee Introduction and Lab 1\las\Drugs\IMG_20180904_145721.jpg"/>
                          <pic:cNvPicPr>
                            <a:picLocks noChangeAspect="1" noChangeArrowheads="1"/>
                          </pic:cNvPicPr>
                        </pic:nvPicPr>
                        <pic:blipFill>
                          <a:blip r:embed="rId5" cstate="print"/>
                          <a:srcRect l="19681" r="25931" b="22609"/>
                          <a:stretch>
                            <a:fillRect/>
                          </a:stretch>
                        </pic:blipFill>
                        <pic:spPr bwMode="auto">
                          <a:xfrm>
                            <a:off x="0" y="0"/>
                            <a:ext cx="1703641" cy="2376138"/>
                          </a:xfrm>
                          <a:prstGeom prst="rect">
                            <a:avLst/>
                          </a:prstGeom>
                          <a:noFill/>
                          <a:ln w="9525">
                            <a:noFill/>
                            <a:miter lim="800000"/>
                            <a:headEnd/>
                            <a:tailEnd/>
                          </a:ln>
                        </pic:spPr>
                      </pic:pic>
                    </a:graphicData>
                  </a:graphic>
                </wp:inline>
              </w:drawing>
            </w:r>
          </w:p>
        </w:tc>
        <w:tc>
          <w:tcPr>
            <w:tcW w:w="1056" w:type="dxa"/>
          </w:tcPr>
          <w:p w:rsidR="00354098" w:rsidRPr="00354098" w:rsidRDefault="00354098" w:rsidP="00354098">
            <w:pPr>
              <w:rPr>
                <w:sz w:val="22"/>
                <w:szCs w:val="22"/>
              </w:rPr>
            </w:pPr>
            <w:r w:rsidRPr="00354098">
              <w:rPr>
                <w:sz w:val="22"/>
                <w:szCs w:val="22"/>
              </w:rPr>
              <w:t>Cattle, Horses, Swine, Sheep, Goats</w:t>
            </w:r>
          </w:p>
        </w:tc>
        <w:tc>
          <w:tcPr>
            <w:tcW w:w="2087" w:type="dxa"/>
          </w:tcPr>
          <w:p w:rsidR="00354098" w:rsidRPr="00354098" w:rsidRDefault="00354098" w:rsidP="00354098">
            <w:pPr>
              <w:pStyle w:val="ListParagraph"/>
              <w:numPr>
                <w:ilvl w:val="0"/>
                <w:numId w:val="1"/>
              </w:numPr>
              <w:autoSpaceDE w:val="0"/>
              <w:autoSpaceDN w:val="0"/>
              <w:adjustRightInd w:val="0"/>
              <w:spacing w:after="0" w:line="240" w:lineRule="auto"/>
              <w:ind w:left="342" w:hanging="270"/>
              <w:rPr>
                <w:rFonts w:cs="Times-Roman"/>
                <w:sz w:val="22"/>
                <w:szCs w:val="22"/>
              </w:rPr>
            </w:pPr>
            <w:r w:rsidRPr="00354098">
              <w:rPr>
                <w:rFonts w:cs="Times-Roman"/>
                <w:sz w:val="22"/>
                <w:szCs w:val="22"/>
              </w:rPr>
              <w:t>Preanesthetic to prevent or reduce secretions of the respiratory tract.</w:t>
            </w:r>
          </w:p>
          <w:p w:rsidR="00354098" w:rsidRPr="00354098" w:rsidRDefault="00354098" w:rsidP="00354098">
            <w:pPr>
              <w:pStyle w:val="ListParagraph"/>
              <w:numPr>
                <w:ilvl w:val="0"/>
                <w:numId w:val="1"/>
              </w:numPr>
              <w:autoSpaceDE w:val="0"/>
              <w:autoSpaceDN w:val="0"/>
              <w:adjustRightInd w:val="0"/>
              <w:spacing w:after="0" w:line="240" w:lineRule="auto"/>
              <w:ind w:left="342" w:hanging="270"/>
              <w:rPr>
                <w:rFonts w:cs="Times-Roman"/>
                <w:sz w:val="22"/>
                <w:szCs w:val="22"/>
              </w:rPr>
            </w:pPr>
            <w:r w:rsidRPr="00354098">
              <w:rPr>
                <w:rFonts w:cs="Times-Roman"/>
                <w:sz w:val="22"/>
                <w:szCs w:val="22"/>
              </w:rPr>
              <w:t>Treat sinus bradycardia, sinoatrial arrest, incomplete AV block.</w:t>
            </w:r>
          </w:p>
          <w:p w:rsidR="00354098" w:rsidRPr="00354098" w:rsidRDefault="00354098" w:rsidP="00354098">
            <w:pPr>
              <w:pStyle w:val="ListParagraph"/>
              <w:numPr>
                <w:ilvl w:val="0"/>
                <w:numId w:val="1"/>
              </w:numPr>
              <w:autoSpaceDE w:val="0"/>
              <w:autoSpaceDN w:val="0"/>
              <w:adjustRightInd w:val="0"/>
              <w:spacing w:after="0" w:line="240" w:lineRule="auto"/>
              <w:ind w:left="342" w:hanging="270"/>
              <w:rPr>
                <w:rFonts w:cs="Times-Roman"/>
                <w:sz w:val="22"/>
                <w:szCs w:val="22"/>
              </w:rPr>
            </w:pPr>
            <w:r w:rsidRPr="00354098">
              <w:rPr>
                <w:rFonts w:cs="Times-Roman"/>
                <w:sz w:val="22"/>
                <w:szCs w:val="22"/>
              </w:rPr>
              <w:t>As an antidote for overdoses of cholinergic agents (</w:t>
            </w:r>
            <w:r w:rsidRPr="00354098">
              <w:rPr>
                <w:rFonts w:cs="Times-Italic"/>
                <w:i/>
                <w:iCs/>
                <w:sz w:val="22"/>
                <w:szCs w:val="22"/>
              </w:rPr>
              <w:t xml:space="preserve">e.g., </w:t>
            </w:r>
            <w:r w:rsidRPr="00354098">
              <w:rPr>
                <w:rFonts w:cs="Times-Roman"/>
                <w:sz w:val="22"/>
                <w:szCs w:val="22"/>
              </w:rPr>
              <w:t>physostigmine, etc.)</w:t>
            </w:r>
          </w:p>
          <w:p w:rsidR="00354098" w:rsidRPr="00354098" w:rsidRDefault="00354098" w:rsidP="00354098">
            <w:pPr>
              <w:pStyle w:val="ListParagraph"/>
              <w:numPr>
                <w:ilvl w:val="0"/>
                <w:numId w:val="1"/>
              </w:numPr>
              <w:autoSpaceDE w:val="0"/>
              <w:autoSpaceDN w:val="0"/>
              <w:adjustRightInd w:val="0"/>
              <w:spacing w:after="0" w:line="240" w:lineRule="auto"/>
              <w:ind w:left="342" w:hanging="270"/>
              <w:rPr>
                <w:rFonts w:cs="Times-Roman"/>
                <w:sz w:val="22"/>
                <w:szCs w:val="22"/>
              </w:rPr>
            </w:pPr>
            <w:r w:rsidRPr="00354098">
              <w:rPr>
                <w:rFonts w:cs="Times-Roman"/>
                <w:sz w:val="22"/>
                <w:szCs w:val="22"/>
              </w:rPr>
              <w:t>As an antidote for organophosphate or muscarinic mushroom intoxication</w:t>
            </w:r>
          </w:p>
          <w:p w:rsidR="00354098" w:rsidRPr="00354098" w:rsidRDefault="00354098" w:rsidP="00354098">
            <w:pPr>
              <w:pStyle w:val="ListParagraph"/>
              <w:numPr>
                <w:ilvl w:val="0"/>
                <w:numId w:val="1"/>
              </w:numPr>
              <w:autoSpaceDE w:val="0"/>
              <w:autoSpaceDN w:val="0"/>
              <w:adjustRightInd w:val="0"/>
              <w:spacing w:after="0" w:line="240" w:lineRule="auto"/>
              <w:ind w:left="342" w:hanging="270"/>
              <w:rPr>
                <w:rFonts w:cs="Times-Roman"/>
                <w:sz w:val="22"/>
                <w:szCs w:val="22"/>
              </w:rPr>
            </w:pPr>
            <w:r w:rsidRPr="00354098">
              <w:rPr>
                <w:rFonts w:cs="Times-Roman"/>
                <w:sz w:val="22"/>
                <w:szCs w:val="22"/>
              </w:rPr>
              <w:t>Hypersialism</w:t>
            </w:r>
          </w:p>
          <w:p w:rsidR="00354098" w:rsidRPr="00354098" w:rsidRDefault="00354098" w:rsidP="00354098">
            <w:pPr>
              <w:pStyle w:val="ListParagraph"/>
              <w:numPr>
                <w:ilvl w:val="0"/>
                <w:numId w:val="1"/>
              </w:numPr>
              <w:autoSpaceDE w:val="0"/>
              <w:autoSpaceDN w:val="0"/>
              <w:adjustRightInd w:val="0"/>
              <w:spacing w:after="0" w:line="240" w:lineRule="auto"/>
              <w:ind w:left="342" w:hanging="270"/>
              <w:rPr>
                <w:rFonts w:cs="Times-Roman"/>
                <w:sz w:val="22"/>
                <w:szCs w:val="22"/>
              </w:rPr>
            </w:pPr>
            <w:r w:rsidRPr="00354098">
              <w:rPr>
                <w:rFonts w:cs="Times-Roman"/>
                <w:sz w:val="22"/>
                <w:szCs w:val="22"/>
              </w:rPr>
              <w:t>Treatment of bronchoconstrictive disease</w:t>
            </w:r>
          </w:p>
          <w:p w:rsidR="00354098" w:rsidRPr="00354098" w:rsidRDefault="00354098" w:rsidP="00354098">
            <w:pPr>
              <w:autoSpaceDE w:val="0"/>
              <w:autoSpaceDN w:val="0"/>
              <w:adjustRightInd w:val="0"/>
              <w:rPr>
                <w:rFonts w:cs="Times-Roman"/>
                <w:sz w:val="22"/>
                <w:szCs w:val="22"/>
              </w:rPr>
            </w:pPr>
          </w:p>
        </w:tc>
        <w:tc>
          <w:tcPr>
            <w:tcW w:w="3671" w:type="dxa"/>
          </w:tcPr>
          <w:p w:rsidR="00354098" w:rsidRPr="00354098" w:rsidRDefault="00354098" w:rsidP="00354098">
            <w:pPr>
              <w:autoSpaceDE w:val="0"/>
              <w:autoSpaceDN w:val="0"/>
              <w:adjustRightInd w:val="0"/>
              <w:rPr>
                <w:rFonts w:cs="Times-Roman"/>
                <w:sz w:val="22"/>
                <w:szCs w:val="22"/>
              </w:rPr>
            </w:pPr>
            <w:r w:rsidRPr="00354098">
              <w:rPr>
                <w:rFonts w:cs="Times-Bold"/>
                <w:b/>
                <w:bCs/>
                <w:sz w:val="22"/>
                <w:szCs w:val="22"/>
              </w:rPr>
              <w:t>Cattle</w:t>
            </w:r>
            <w:r w:rsidRPr="00354098">
              <w:rPr>
                <w:rFonts w:cs="Times-Roman"/>
                <w:sz w:val="22"/>
                <w:szCs w:val="22"/>
              </w:rPr>
              <w:t>:</w:t>
            </w:r>
          </w:p>
          <w:p w:rsidR="00354098" w:rsidRPr="00354098" w:rsidRDefault="00354098" w:rsidP="00354098">
            <w:pPr>
              <w:autoSpaceDE w:val="0"/>
              <w:autoSpaceDN w:val="0"/>
              <w:adjustRightInd w:val="0"/>
              <w:rPr>
                <w:rFonts w:cs="Times-Roman"/>
                <w:sz w:val="22"/>
                <w:szCs w:val="22"/>
              </w:rPr>
            </w:pPr>
            <w:r w:rsidRPr="00354098">
              <w:rPr>
                <w:rFonts w:cs="Times-Roman"/>
                <w:sz w:val="22"/>
                <w:szCs w:val="22"/>
              </w:rPr>
              <w:t>For adjunctive treatment of bovine hypersensitivity disease:</w:t>
            </w:r>
          </w:p>
          <w:p w:rsidR="00354098" w:rsidRPr="00354098" w:rsidRDefault="00354098" w:rsidP="00354098">
            <w:pPr>
              <w:autoSpaceDE w:val="0"/>
              <w:autoSpaceDN w:val="0"/>
              <w:adjustRightInd w:val="0"/>
              <w:rPr>
                <w:rFonts w:cs="Times-Roman"/>
                <w:sz w:val="22"/>
                <w:szCs w:val="22"/>
              </w:rPr>
            </w:pPr>
            <w:r w:rsidRPr="00354098">
              <w:rPr>
                <w:rFonts w:cs="Times-Roman"/>
                <w:sz w:val="22"/>
                <w:szCs w:val="22"/>
              </w:rPr>
              <w:t xml:space="preserve">a) 1 gram per cow once daily followed by 0.5 gram/cow in 2 - 3 days </w:t>
            </w:r>
          </w:p>
          <w:p w:rsidR="00354098" w:rsidRPr="00354098" w:rsidRDefault="00354098" w:rsidP="00354098">
            <w:pPr>
              <w:autoSpaceDE w:val="0"/>
              <w:autoSpaceDN w:val="0"/>
              <w:adjustRightInd w:val="0"/>
              <w:rPr>
                <w:rFonts w:cs="Times-Roman"/>
                <w:sz w:val="22"/>
                <w:szCs w:val="22"/>
              </w:rPr>
            </w:pPr>
            <w:r w:rsidRPr="00354098">
              <w:rPr>
                <w:rFonts w:cs="Times-Roman"/>
                <w:sz w:val="22"/>
                <w:szCs w:val="22"/>
              </w:rPr>
              <w:t>For treatment of cholinergic toxicity (organophosphates):</w:t>
            </w:r>
          </w:p>
          <w:p w:rsidR="00354098" w:rsidRPr="00354098" w:rsidRDefault="00354098" w:rsidP="00354098">
            <w:pPr>
              <w:autoSpaceDE w:val="0"/>
              <w:autoSpaceDN w:val="0"/>
              <w:adjustRightInd w:val="0"/>
              <w:rPr>
                <w:rFonts w:cs="Times-Roman"/>
                <w:sz w:val="22"/>
                <w:szCs w:val="22"/>
              </w:rPr>
            </w:pPr>
            <w:r w:rsidRPr="00354098">
              <w:rPr>
                <w:rFonts w:cs="Times-Roman"/>
                <w:sz w:val="22"/>
                <w:szCs w:val="22"/>
              </w:rPr>
              <w:t>a) 0.5 mg/kg (average dose); give 1/4th of the dose IV and the remainder SC or IM; may</w:t>
            </w:r>
          </w:p>
          <w:p w:rsidR="00354098" w:rsidRPr="00354098" w:rsidRDefault="00354098" w:rsidP="00354098">
            <w:pPr>
              <w:autoSpaceDE w:val="0"/>
              <w:autoSpaceDN w:val="0"/>
              <w:adjustRightInd w:val="0"/>
              <w:rPr>
                <w:rFonts w:cs="Times-Roman"/>
                <w:sz w:val="22"/>
                <w:szCs w:val="22"/>
              </w:rPr>
            </w:pPr>
            <w:r w:rsidRPr="00354098">
              <w:rPr>
                <w:rFonts w:cs="Times-Roman"/>
                <w:sz w:val="22"/>
                <w:szCs w:val="22"/>
              </w:rPr>
              <w:t xml:space="preserve">repeat q3-4h for 1-2 days </w:t>
            </w:r>
          </w:p>
          <w:p w:rsidR="00354098" w:rsidRPr="00354098" w:rsidRDefault="00354098" w:rsidP="00354098">
            <w:pPr>
              <w:autoSpaceDE w:val="0"/>
              <w:autoSpaceDN w:val="0"/>
              <w:adjustRightInd w:val="0"/>
              <w:rPr>
                <w:rFonts w:cs="Times-Roman"/>
                <w:sz w:val="22"/>
                <w:szCs w:val="22"/>
              </w:rPr>
            </w:pPr>
            <w:r w:rsidRPr="00354098">
              <w:rPr>
                <w:rFonts w:cs="Times-Roman"/>
                <w:sz w:val="22"/>
                <w:szCs w:val="22"/>
              </w:rPr>
              <w:t xml:space="preserve">b) 0.2 mg/kg give 1/4th of the dose IV and the remainder SC or IM </w:t>
            </w:r>
          </w:p>
          <w:p w:rsidR="00354098" w:rsidRPr="00354098" w:rsidRDefault="00354098" w:rsidP="00354098">
            <w:pPr>
              <w:autoSpaceDE w:val="0"/>
              <w:autoSpaceDN w:val="0"/>
              <w:adjustRightInd w:val="0"/>
              <w:rPr>
                <w:rFonts w:cs="Times-Roman"/>
                <w:sz w:val="22"/>
                <w:szCs w:val="22"/>
              </w:rPr>
            </w:pPr>
            <w:r w:rsidRPr="00354098">
              <w:rPr>
                <w:rFonts w:cs="Times-Bold"/>
                <w:b/>
                <w:bCs/>
                <w:sz w:val="22"/>
                <w:szCs w:val="22"/>
              </w:rPr>
              <w:t>Horses</w:t>
            </w:r>
            <w:r w:rsidRPr="00354098">
              <w:rPr>
                <w:rFonts w:cs="Times-Roman"/>
                <w:sz w:val="22"/>
                <w:szCs w:val="22"/>
              </w:rPr>
              <w:t>:</w:t>
            </w:r>
          </w:p>
          <w:p w:rsidR="00354098" w:rsidRPr="00354098" w:rsidRDefault="00354098" w:rsidP="00354098">
            <w:pPr>
              <w:autoSpaceDE w:val="0"/>
              <w:autoSpaceDN w:val="0"/>
              <w:adjustRightInd w:val="0"/>
              <w:rPr>
                <w:rFonts w:cs="Times-Roman"/>
                <w:sz w:val="22"/>
                <w:szCs w:val="22"/>
              </w:rPr>
            </w:pPr>
            <w:r w:rsidRPr="00354098">
              <w:rPr>
                <w:rFonts w:cs="Times-Roman"/>
                <w:sz w:val="22"/>
                <w:szCs w:val="22"/>
              </w:rPr>
              <w:t>For treatment of bradyarrhythmias due to increased parasympathetic tone:</w:t>
            </w:r>
          </w:p>
          <w:p w:rsidR="00354098" w:rsidRPr="00354098" w:rsidRDefault="00354098" w:rsidP="00354098">
            <w:pPr>
              <w:autoSpaceDE w:val="0"/>
              <w:autoSpaceDN w:val="0"/>
              <w:adjustRightInd w:val="0"/>
              <w:rPr>
                <w:rFonts w:cs="Times-Roman"/>
                <w:sz w:val="22"/>
                <w:szCs w:val="22"/>
              </w:rPr>
            </w:pPr>
            <w:r w:rsidRPr="00354098">
              <w:rPr>
                <w:rFonts w:cs="Times-Roman"/>
                <w:sz w:val="22"/>
                <w:szCs w:val="22"/>
              </w:rPr>
              <w:t xml:space="preserve">a) 0.01 - 0.02 mg/kg IV </w:t>
            </w:r>
          </w:p>
          <w:p w:rsidR="00354098" w:rsidRPr="00354098" w:rsidRDefault="00354098" w:rsidP="00354098">
            <w:pPr>
              <w:autoSpaceDE w:val="0"/>
              <w:autoSpaceDN w:val="0"/>
              <w:adjustRightInd w:val="0"/>
              <w:rPr>
                <w:rFonts w:cs="Times-Roman"/>
                <w:sz w:val="22"/>
                <w:szCs w:val="22"/>
              </w:rPr>
            </w:pPr>
            <w:r w:rsidRPr="00354098">
              <w:rPr>
                <w:rFonts w:cs="Times-Roman"/>
                <w:sz w:val="22"/>
                <w:szCs w:val="22"/>
              </w:rPr>
              <w:t xml:space="preserve">b) 0.045 mg/kg parenterally </w:t>
            </w:r>
          </w:p>
          <w:p w:rsidR="00354098" w:rsidRPr="00354098" w:rsidRDefault="00354098" w:rsidP="00354098">
            <w:pPr>
              <w:autoSpaceDE w:val="0"/>
              <w:autoSpaceDN w:val="0"/>
              <w:adjustRightInd w:val="0"/>
              <w:rPr>
                <w:rFonts w:cs="Times-Roman"/>
                <w:sz w:val="22"/>
                <w:szCs w:val="22"/>
              </w:rPr>
            </w:pPr>
            <w:r w:rsidRPr="00354098">
              <w:rPr>
                <w:rFonts w:cs="Times-Roman"/>
                <w:sz w:val="22"/>
                <w:szCs w:val="22"/>
              </w:rPr>
              <w:t>As a bronchodilator:</w:t>
            </w:r>
          </w:p>
          <w:p w:rsidR="00354098" w:rsidRPr="00354098" w:rsidRDefault="00354098" w:rsidP="00354098">
            <w:pPr>
              <w:autoSpaceDE w:val="0"/>
              <w:autoSpaceDN w:val="0"/>
              <w:adjustRightInd w:val="0"/>
              <w:rPr>
                <w:rFonts w:cs="Times-Roman"/>
                <w:sz w:val="22"/>
                <w:szCs w:val="22"/>
              </w:rPr>
            </w:pPr>
            <w:r w:rsidRPr="00354098">
              <w:rPr>
                <w:rFonts w:cs="Times-Roman"/>
                <w:sz w:val="22"/>
                <w:szCs w:val="22"/>
              </w:rPr>
              <w:t xml:space="preserve">a) 5 mg IV for </w:t>
            </w:r>
            <w:r w:rsidR="00853DD9">
              <w:rPr>
                <w:rFonts w:cs="Times-Roman"/>
                <w:sz w:val="22"/>
                <w:szCs w:val="22"/>
              </w:rPr>
              <w:t xml:space="preserve">a 400-500 kg animal </w:t>
            </w:r>
          </w:p>
          <w:p w:rsidR="00354098" w:rsidRPr="00354098" w:rsidRDefault="00354098" w:rsidP="00354098">
            <w:pPr>
              <w:autoSpaceDE w:val="0"/>
              <w:autoSpaceDN w:val="0"/>
              <w:adjustRightInd w:val="0"/>
              <w:rPr>
                <w:rFonts w:cs="Times-Roman"/>
                <w:sz w:val="22"/>
                <w:szCs w:val="22"/>
              </w:rPr>
            </w:pPr>
            <w:r w:rsidRPr="00354098">
              <w:rPr>
                <w:rFonts w:cs="Times-Roman"/>
                <w:sz w:val="22"/>
                <w:szCs w:val="22"/>
              </w:rPr>
              <w:t>For organophosphate poisoning:</w:t>
            </w:r>
          </w:p>
          <w:p w:rsidR="00354098" w:rsidRPr="00354098" w:rsidRDefault="00354098" w:rsidP="00354098">
            <w:pPr>
              <w:autoSpaceDE w:val="0"/>
              <w:autoSpaceDN w:val="0"/>
              <w:adjustRightInd w:val="0"/>
              <w:rPr>
                <w:rFonts w:cs="Times-Roman"/>
                <w:sz w:val="22"/>
                <w:szCs w:val="22"/>
              </w:rPr>
            </w:pPr>
            <w:r w:rsidRPr="00354098">
              <w:rPr>
                <w:rFonts w:cs="Times-Roman"/>
                <w:sz w:val="22"/>
                <w:szCs w:val="22"/>
              </w:rPr>
              <w:t>a) Approximately 1 mg/kg given to effect IV (use mydriasis and absence of salivation as</w:t>
            </w:r>
          </w:p>
          <w:p w:rsidR="00354098" w:rsidRPr="00354098" w:rsidRDefault="00354098" w:rsidP="00354098">
            <w:pPr>
              <w:autoSpaceDE w:val="0"/>
              <w:autoSpaceDN w:val="0"/>
              <w:adjustRightInd w:val="0"/>
              <w:rPr>
                <w:rFonts w:cs="Times-Roman"/>
                <w:sz w:val="22"/>
                <w:szCs w:val="22"/>
              </w:rPr>
            </w:pPr>
            <w:r w:rsidRPr="00354098">
              <w:rPr>
                <w:rFonts w:cs="Times-Roman"/>
                <w:sz w:val="22"/>
                <w:szCs w:val="22"/>
              </w:rPr>
              <w:t>therapy endpoints), may repeat every 1.5 - 2 hours as required subcutaneously</w:t>
            </w:r>
          </w:p>
          <w:p w:rsidR="00354098" w:rsidRPr="00354098" w:rsidRDefault="00354098" w:rsidP="00354098">
            <w:pPr>
              <w:autoSpaceDE w:val="0"/>
              <w:autoSpaceDN w:val="0"/>
              <w:adjustRightInd w:val="0"/>
              <w:rPr>
                <w:rFonts w:cs="Times-Roman"/>
                <w:sz w:val="22"/>
                <w:szCs w:val="22"/>
              </w:rPr>
            </w:pPr>
            <w:r w:rsidRPr="00354098">
              <w:rPr>
                <w:rFonts w:cs="Times-Roman"/>
                <w:sz w:val="22"/>
                <w:szCs w:val="22"/>
              </w:rPr>
              <w:t>b) 0.22 mg/kg, 1/4th of the dose administered IV and the remainder SC or IM</w:t>
            </w:r>
          </w:p>
          <w:p w:rsidR="00354098" w:rsidRDefault="00354098" w:rsidP="00354098">
            <w:pPr>
              <w:autoSpaceDE w:val="0"/>
              <w:autoSpaceDN w:val="0"/>
              <w:adjustRightInd w:val="0"/>
              <w:rPr>
                <w:rFonts w:cs="Times-Roman"/>
                <w:sz w:val="22"/>
                <w:szCs w:val="22"/>
              </w:rPr>
            </w:pPr>
            <w:r w:rsidRPr="00354098">
              <w:rPr>
                <w:rFonts w:cs="Times-Bold"/>
                <w:b/>
                <w:bCs/>
                <w:sz w:val="22"/>
                <w:szCs w:val="22"/>
              </w:rPr>
              <w:t>Swine</w:t>
            </w:r>
            <w:r w:rsidRPr="00354098">
              <w:rPr>
                <w:rFonts w:cs="Times-Roman"/>
                <w:sz w:val="22"/>
                <w:szCs w:val="22"/>
              </w:rPr>
              <w:t xml:space="preserve">: </w:t>
            </w:r>
          </w:p>
          <w:p w:rsidR="00354098" w:rsidRPr="00354098" w:rsidRDefault="00354098" w:rsidP="00354098">
            <w:pPr>
              <w:autoSpaceDE w:val="0"/>
              <w:autoSpaceDN w:val="0"/>
              <w:adjustRightInd w:val="0"/>
              <w:rPr>
                <w:rFonts w:cs="Times-Roman"/>
                <w:sz w:val="22"/>
                <w:szCs w:val="22"/>
              </w:rPr>
            </w:pPr>
            <w:r w:rsidRPr="00354098">
              <w:rPr>
                <w:rFonts w:cs="Times-Roman"/>
                <w:sz w:val="22"/>
                <w:szCs w:val="22"/>
              </w:rPr>
              <w:t>The equine dose (above) may be used to initially treat organophosphate toxicity in</w:t>
            </w:r>
          </w:p>
          <w:p w:rsidR="00354098" w:rsidRPr="00354098" w:rsidRDefault="00354098" w:rsidP="00354098">
            <w:pPr>
              <w:autoSpaceDE w:val="0"/>
              <w:autoSpaceDN w:val="0"/>
              <w:adjustRightInd w:val="0"/>
              <w:rPr>
                <w:rFonts w:cs="Times-Roman"/>
                <w:sz w:val="22"/>
                <w:szCs w:val="22"/>
              </w:rPr>
            </w:pPr>
            <w:r w:rsidRPr="00354098">
              <w:rPr>
                <w:rFonts w:cs="Times-Roman"/>
                <w:sz w:val="22"/>
                <w:szCs w:val="22"/>
              </w:rPr>
              <w:t>swine.</w:t>
            </w:r>
          </w:p>
          <w:p w:rsidR="00354098" w:rsidRPr="00354098" w:rsidRDefault="00354098" w:rsidP="00354098">
            <w:pPr>
              <w:autoSpaceDE w:val="0"/>
              <w:autoSpaceDN w:val="0"/>
              <w:adjustRightInd w:val="0"/>
              <w:rPr>
                <w:rFonts w:cs="Times-Roman"/>
                <w:sz w:val="22"/>
                <w:szCs w:val="22"/>
              </w:rPr>
            </w:pPr>
            <w:r w:rsidRPr="00354098">
              <w:rPr>
                <w:rFonts w:cs="Times-Roman"/>
                <w:sz w:val="22"/>
                <w:szCs w:val="22"/>
              </w:rPr>
              <w:t>As an adjunctive preanesthetic agent:</w:t>
            </w:r>
          </w:p>
          <w:p w:rsidR="00354098" w:rsidRPr="00354098" w:rsidRDefault="00354098" w:rsidP="00354098">
            <w:pPr>
              <w:autoSpaceDE w:val="0"/>
              <w:autoSpaceDN w:val="0"/>
              <w:adjustRightInd w:val="0"/>
              <w:rPr>
                <w:rFonts w:cs="Times-Roman"/>
                <w:sz w:val="22"/>
                <w:szCs w:val="22"/>
              </w:rPr>
            </w:pPr>
            <w:r w:rsidRPr="00354098">
              <w:rPr>
                <w:rFonts w:cs="Times-Roman"/>
                <w:sz w:val="22"/>
                <w:szCs w:val="22"/>
              </w:rPr>
              <w:t xml:space="preserve">a) 0.04 mg/kg IM </w:t>
            </w:r>
          </w:p>
          <w:p w:rsidR="00354098" w:rsidRPr="00354098" w:rsidRDefault="00354098" w:rsidP="00354098">
            <w:pPr>
              <w:autoSpaceDE w:val="0"/>
              <w:autoSpaceDN w:val="0"/>
              <w:adjustRightInd w:val="0"/>
              <w:rPr>
                <w:rFonts w:cs="Times-Roman"/>
                <w:sz w:val="22"/>
                <w:szCs w:val="22"/>
              </w:rPr>
            </w:pPr>
          </w:p>
        </w:tc>
        <w:tc>
          <w:tcPr>
            <w:tcW w:w="4530" w:type="dxa"/>
          </w:tcPr>
          <w:p w:rsidR="00354098" w:rsidRPr="00354098" w:rsidRDefault="00354098" w:rsidP="00354098">
            <w:pPr>
              <w:autoSpaceDE w:val="0"/>
              <w:autoSpaceDN w:val="0"/>
              <w:adjustRightInd w:val="0"/>
              <w:rPr>
                <w:rFonts w:cs="Times-Roman"/>
                <w:sz w:val="22"/>
                <w:szCs w:val="22"/>
              </w:rPr>
            </w:pPr>
            <w:r w:rsidRPr="00354098">
              <w:rPr>
                <w:rFonts w:cs="Times-Roman"/>
                <w:sz w:val="22"/>
                <w:szCs w:val="22"/>
              </w:rPr>
              <w:t>Atropine is contraindicated in patients with narrow-angle glaucoma, synechiae (adhesions) between the iris and lens, hypersensitivity to anticholinergic</w:t>
            </w:r>
            <w:r>
              <w:rPr>
                <w:rFonts w:cs="Times-Roman"/>
                <w:sz w:val="22"/>
                <w:szCs w:val="22"/>
              </w:rPr>
              <w:t xml:space="preserve"> </w:t>
            </w:r>
            <w:r w:rsidRPr="00354098">
              <w:rPr>
                <w:rFonts w:cs="Times-Roman"/>
                <w:sz w:val="22"/>
                <w:szCs w:val="22"/>
              </w:rPr>
              <w:t>drugs, tachycardias secondary to thyrotoxicosis or cardiac insufficiency, myocardial ischemia,</w:t>
            </w:r>
            <w:r>
              <w:rPr>
                <w:rFonts w:cs="Times-Roman"/>
                <w:sz w:val="22"/>
                <w:szCs w:val="22"/>
              </w:rPr>
              <w:t xml:space="preserve"> </w:t>
            </w:r>
            <w:r w:rsidRPr="00354098">
              <w:rPr>
                <w:rFonts w:cs="Times-Roman"/>
                <w:sz w:val="22"/>
                <w:szCs w:val="22"/>
              </w:rPr>
              <w:t>unstable cardiac status during acute hemorrhage, GI obstructive disease, paralytic ileus, severe</w:t>
            </w:r>
            <w:r>
              <w:rPr>
                <w:rFonts w:cs="Times-Roman"/>
                <w:sz w:val="22"/>
                <w:szCs w:val="22"/>
              </w:rPr>
              <w:t xml:space="preserve"> </w:t>
            </w:r>
            <w:r w:rsidRPr="00354098">
              <w:rPr>
                <w:rFonts w:cs="Times-Roman"/>
                <w:sz w:val="22"/>
                <w:szCs w:val="22"/>
              </w:rPr>
              <w:t>ulcerative colitis, obstructive uropathy, and myasthenia gravis (unless used to reverse adverse muscarinic effects secondary to therapy). Atropine may aggravate some signs seen with amitraz</w:t>
            </w:r>
          </w:p>
          <w:p w:rsidR="00354098" w:rsidRPr="00354098" w:rsidRDefault="00354098" w:rsidP="00354098">
            <w:pPr>
              <w:autoSpaceDE w:val="0"/>
              <w:autoSpaceDN w:val="0"/>
              <w:adjustRightInd w:val="0"/>
              <w:rPr>
                <w:rFonts w:cs="Times-Roman"/>
                <w:sz w:val="22"/>
                <w:szCs w:val="22"/>
              </w:rPr>
            </w:pPr>
            <w:r w:rsidRPr="00354098">
              <w:rPr>
                <w:rFonts w:cs="Times-Roman"/>
                <w:sz w:val="22"/>
                <w:szCs w:val="22"/>
              </w:rPr>
              <w:t>toxicity; leading to hypertension and further inhibition of peristalsis.</w:t>
            </w:r>
          </w:p>
          <w:p w:rsidR="00354098" w:rsidRPr="00354098" w:rsidRDefault="00354098" w:rsidP="00354098">
            <w:pPr>
              <w:autoSpaceDE w:val="0"/>
              <w:autoSpaceDN w:val="0"/>
              <w:adjustRightInd w:val="0"/>
              <w:rPr>
                <w:rFonts w:cs="Times-Roman"/>
                <w:sz w:val="22"/>
                <w:szCs w:val="22"/>
              </w:rPr>
            </w:pPr>
            <w:r w:rsidRPr="00354098">
              <w:rPr>
                <w:rFonts w:cs="Times-Roman"/>
                <w:sz w:val="22"/>
                <w:szCs w:val="22"/>
              </w:rPr>
              <w:t>Antimuscarinic agents should be used with extreme caution in patients with known or suspected</w:t>
            </w:r>
            <w:r w:rsidR="00853DD9">
              <w:rPr>
                <w:rFonts w:cs="Times-Roman"/>
                <w:sz w:val="22"/>
                <w:szCs w:val="22"/>
              </w:rPr>
              <w:t xml:space="preserve"> </w:t>
            </w:r>
            <w:r w:rsidRPr="00354098">
              <w:rPr>
                <w:rFonts w:cs="Times-Roman"/>
                <w:sz w:val="22"/>
                <w:szCs w:val="22"/>
              </w:rPr>
              <w:t>GI infections. Atropine or other antimuscarinic agents can decrease GI motility and prolong</w:t>
            </w:r>
            <w:r w:rsidR="00853DD9">
              <w:rPr>
                <w:rFonts w:cs="Times-Roman"/>
                <w:sz w:val="22"/>
                <w:szCs w:val="22"/>
              </w:rPr>
              <w:t xml:space="preserve"> </w:t>
            </w:r>
            <w:r w:rsidRPr="00354098">
              <w:rPr>
                <w:rFonts w:cs="Times-Roman"/>
                <w:sz w:val="22"/>
                <w:szCs w:val="22"/>
              </w:rPr>
              <w:t>retention of the causative agent(s) or toxin(s) resulting in prolonged symptoms. Antimuscarinic</w:t>
            </w:r>
            <w:r>
              <w:rPr>
                <w:rFonts w:cs="Times-Roman"/>
                <w:sz w:val="22"/>
                <w:szCs w:val="22"/>
              </w:rPr>
              <w:t xml:space="preserve"> </w:t>
            </w:r>
            <w:r w:rsidRPr="00354098">
              <w:rPr>
                <w:rFonts w:cs="Times-Roman"/>
                <w:sz w:val="22"/>
                <w:szCs w:val="22"/>
              </w:rPr>
              <w:t>agents must also be used with extreme caution in patients with autonomic neuropathy.</w:t>
            </w:r>
          </w:p>
          <w:p w:rsidR="00354098" w:rsidRPr="00354098" w:rsidRDefault="00354098" w:rsidP="00354098">
            <w:pPr>
              <w:autoSpaceDE w:val="0"/>
              <w:autoSpaceDN w:val="0"/>
              <w:adjustRightInd w:val="0"/>
              <w:rPr>
                <w:rFonts w:cs="Times-Roman"/>
                <w:sz w:val="22"/>
                <w:szCs w:val="22"/>
              </w:rPr>
            </w:pPr>
            <w:r w:rsidRPr="00354098">
              <w:rPr>
                <w:rFonts w:cs="Times-Roman"/>
                <w:sz w:val="22"/>
                <w:szCs w:val="22"/>
              </w:rPr>
              <w:t>Antimuscarinic agents should be used with caution in patients with hepatic or renal disease,</w:t>
            </w:r>
            <w:r w:rsidR="00853DD9">
              <w:rPr>
                <w:rFonts w:cs="Times-Roman"/>
                <w:sz w:val="22"/>
                <w:szCs w:val="22"/>
              </w:rPr>
              <w:t xml:space="preserve"> </w:t>
            </w:r>
            <w:r w:rsidRPr="00354098">
              <w:rPr>
                <w:rFonts w:cs="Times-Roman"/>
                <w:sz w:val="22"/>
                <w:szCs w:val="22"/>
              </w:rPr>
              <w:t>geriatric or pediatric patients, hyperthyroidism, hypertension, CHF, tachyarrhythmias, prostatic</w:t>
            </w:r>
          </w:p>
          <w:p w:rsidR="00354098" w:rsidRPr="00354098" w:rsidRDefault="00354098" w:rsidP="00853DD9">
            <w:pPr>
              <w:autoSpaceDE w:val="0"/>
              <w:autoSpaceDN w:val="0"/>
              <w:adjustRightInd w:val="0"/>
              <w:rPr>
                <w:rFonts w:cs="Times-Roman"/>
                <w:sz w:val="22"/>
                <w:szCs w:val="22"/>
              </w:rPr>
            </w:pPr>
            <w:r w:rsidRPr="00354098">
              <w:rPr>
                <w:rFonts w:cs="Times-Roman"/>
                <w:sz w:val="22"/>
                <w:szCs w:val="22"/>
              </w:rPr>
              <w:t>hypertrophy, or esophageal reflux. Systemic atropine should be used cautiously in horses as it may decrease gut motility and induce colic in susceptible animals. It may also reduce the</w:t>
            </w:r>
            <w:r w:rsidR="00853DD9">
              <w:rPr>
                <w:rFonts w:cs="Times-Roman"/>
                <w:sz w:val="22"/>
                <w:szCs w:val="22"/>
              </w:rPr>
              <w:t xml:space="preserve"> </w:t>
            </w:r>
            <w:r w:rsidRPr="00354098">
              <w:rPr>
                <w:rFonts w:cs="Times-Roman"/>
                <w:sz w:val="22"/>
                <w:szCs w:val="22"/>
              </w:rPr>
              <w:t>arrhythmogenic doses of epinephrine. Use of atropine in cattle may result in inappetence and</w:t>
            </w:r>
            <w:r w:rsidR="00853DD9">
              <w:rPr>
                <w:rFonts w:cs="Times-Roman"/>
                <w:sz w:val="22"/>
                <w:szCs w:val="22"/>
              </w:rPr>
              <w:t xml:space="preserve"> </w:t>
            </w:r>
            <w:r w:rsidRPr="00354098">
              <w:rPr>
                <w:rFonts w:cs="Times-Roman"/>
                <w:sz w:val="22"/>
                <w:szCs w:val="22"/>
              </w:rPr>
              <w:t>rumen stasis which may persist for several days.</w:t>
            </w:r>
          </w:p>
        </w:tc>
        <w:tc>
          <w:tcPr>
            <w:tcW w:w="2406" w:type="dxa"/>
          </w:tcPr>
          <w:p w:rsidR="00354098" w:rsidRPr="00354098" w:rsidRDefault="00354098" w:rsidP="00354098">
            <w:pPr>
              <w:autoSpaceDE w:val="0"/>
              <w:autoSpaceDN w:val="0"/>
              <w:adjustRightInd w:val="0"/>
              <w:rPr>
                <w:rFonts w:cs="Times-Roman"/>
                <w:sz w:val="22"/>
                <w:szCs w:val="22"/>
              </w:rPr>
            </w:pPr>
            <w:r w:rsidRPr="00354098">
              <w:rPr>
                <w:rFonts w:cs="Times-Roman"/>
                <w:sz w:val="22"/>
                <w:szCs w:val="22"/>
              </w:rPr>
              <w:t>Atropine, like other antimuscarinic agents, competitively inhibits acetylcholine or other cholinergic stimulants at postganglionic parasympathetic neuroeffector sites. High doses may block nicotinic receptors at the autonomic ganglia and at the neuromuscular junction.</w:t>
            </w:r>
          </w:p>
          <w:p w:rsidR="00354098" w:rsidRPr="00354098" w:rsidRDefault="00354098" w:rsidP="00354098">
            <w:pPr>
              <w:autoSpaceDE w:val="0"/>
              <w:autoSpaceDN w:val="0"/>
              <w:adjustRightInd w:val="0"/>
              <w:rPr>
                <w:rFonts w:cs="Times-Roman"/>
                <w:sz w:val="22"/>
                <w:szCs w:val="22"/>
              </w:rPr>
            </w:pPr>
            <w:r w:rsidRPr="00354098">
              <w:rPr>
                <w:rFonts w:cs="Times-Roman"/>
                <w:sz w:val="22"/>
                <w:szCs w:val="22"/>
              </w:rPr>
              <w:t>Pharmacologic effects are dose related. At low doses salivation, bronchial secretions, and</w:t>
            </w:r>
            <w:r>
              <w:rPr>
                <w:rFonts w:cs="Times-Roman"/>
                <w:sz w:val="22"/>
                <w:szCs w:val="22"/>
              </w:rPr>
              <w:t xml:space="preserve"> </w:t>
            </w:r>
            <w:r w:rsidRPr="00354098">
              <w:rPr>
                <w:rFonts w:cs="Times-Roman"/>
                <w:sz w:val="22"/>
                <w:szCs w:val="22"/>
              </w:rPr>
              <w:t>sweating (not horses) are inhibited. At moderate systemic doses, atropine dilates and inhibits accommodation of the pupil, and increases heart rate. High doses will decrease GI and urinary tract motility. Very high doses will inhibit gastric secretion.</w:t>
            </w:r>
          </w:p>
        </w:tc>
        <w:tc>
          <w:tcPr>
            <w:tcW w:w="2972" w:type="dxa"/>
          </w:tcPr>
          <w:p w:rsidR="00354098" w:rsidRPr="00354098" w:rsidRDefault="00354098" w:rsidP="00354098">
            <w:pPr>
              <w:autoSpaceDE w:val="0"/>
              <w:autoSpaceDN w:val="0"/>
              <w:adjustRightInd w:val="0"/>
              <w:rPr>
                <w:rFonts w:cs="Times-Roman"/>
                <w:sz w:val="22"/>
                <w:szCs w:val="22"/>
              </w:rPr>
            </w:pPr>
            <w:r w:rsidRPr="00354098">
              <w:rPr>
                <w:rFonts w:cs="Times-Roman"/>
                <w:sz w:val="22"/>
                <w:szCs w:val="22"/>
              </w:rPr>
              <w:t>Adverse effects are basically extensions of the drug’s</w:t>
            </w:r>
          </w:p>
          <w:p w:rsidR="00354098" w:rsidRPr="00354098" w:rsidRDefault="00354098" w:rsidP="00354098">
            <w:pPr>
              <w:autoSpaceDE w:val="0"/>
              <w:autoSpaceDN w:val="0"/>
              <w:adjustRightInd w:val="0"/>
              <w:rPr>
                <w:rFonts w:cs="Times-Roman"/>
                <w:sz w:val="22"/>
                <w:szCs w:val="22"/>
              </w:rPr>
            </w:pPr>
            <w:r w:rsidRPr="00354098">
              <w:rPr>
                <w:rFonts w:cs="Times-Roman"/>
                <w:sz w:val="22"/>
                <w:szCs w:val="22"/>
              </w:rPr>
              <w:t>pharmacologic effects and are generally dose related. At usual doses effects tend to be mild in</w:t>
            </w:r>
            <w:r w:rsidR="00853DD9">
              <w:rPr>
                <w:rFonts w:cs="Times-Roman"/>
                <w:sz w:val="22"/>
                <w:szCs w:val="22"/>
              </w:rPr>
              <w:t xml:space="preserve"> </w:t>
            </w:r>
            <w:r w:rsidRPr="00354098">
              <w:rPr>
                <w:rFonts w:cs="Times-Roman"/>
                <w:sz w:val="22"/>
                <w:szCs w:val="22"/>
              </w:rPr>
              <w:t>relatively healthy patients. The more severe effects listed tend to occur with high or toxic doses.</w:t>
            </w:r>
          </w:p>
          <w:p w:rsidR="00354098" w:rsidRPr="00354098" w:rsidRDefault="00354098" w:rsidP="00354098">
            <w:pPr>
              <w:autoSpaceDE w:val="0"/>
              <w:autoSpaceDN w:val="0"/>
              <w:adjustRightInd w:val="0"/>
              <w:rPr>
                <w:rFonts w:cs="Times-Roman"/>
                <w:sz w:val="22"/>
                <w:szCs w:val="22"/>
              </w:rPr>
            </w:pPr>
            <w:r w:rsidRPr="00354098">
              <w:rPr>
                <w:rFonts w:cs="Times-Roman"/>
                <w:sz w:val="22"/>
                <w:szCs w:val="22"/>
              </w:rPr>
              <w:t>GI effects can include dry mouth (xerostomia), dysphagia, constipation, vomiting, and thirst. GU effects may include urinary retention or hesitancy. CNS effects may include stimulation,</w:t>
            </w:r>
            <w:r>
              <w:rPr>
                <w:rFonts w:cs="Times-Roman"/>
                <w:sz w:val="22"/>
                <w:szCs w:val="22"/>
              </w:rPr>
              <w:t xml:space="preserve"> </w:t>
            </w:r>
            <w:r w:rsidRPr="00354098">
              <w:rPr>
                <w:rFonts w:cs="Times-Roman"/>
                <w:sz w:val="22"/>
                <w:szCs w:val="22"/>
              </w:rPr>
              <w:t>drowsiness, ataxia, seizures, respiratory depression, etc. Ophthalmic effects include blurred</w:t>
            </w:r>
          </w:p>
          <w:p w:rsidR="00354098" w:rsidRPr="00354098" w:rsidRDefault="00354098" w:rsidP="00354098">
            <w:pPr>
              <w:autoSpaceDE w:val="0"/>
              <w:autoSpaceDN w:val="0"/>
              <w:adjustRightInd w:val="0"/>
              <w:rPr>
                <w:rFonts w:cs="Times-Roman"/>
                <w:sz w:val="22"/>
                <w:szCs w:val="22"/>
              </w:rPr>
            </w:pPr>
            <w:r w:rsidRPr="00354098">
              <w:rPr>
                <w:rFonts w:cs="Times-Roman"/>
                <w:sz w:val="22"/>
                <w:szCs w:val="22"/>
              </w:rPr>
              <w:t xml:space="preserve">vision, pupil dilation, cycloplegia, and </w:t>
            </w:r>
            <w:r w:rsidR="00853DD9">
              <w:rPr>
                <w:rFonts w:cs="Times-Roman"/>
                <w:sz w:val="22"/>
                <w:szCs w:val="22"/>
              </w:rPr>
              <w:t>p</w:t>
            </w:r>
            <w:r w:rsidRPr="00354098">
              <w:rPr>
                <w:rFonts w:cs="Times-Roman"/>
                <w:sz w:val="22"/>
                <w:szCs w:val="22"/>
              </w:rPr>
              <w:t>hotophobia. Cardiovascular effects include sinus</w:t>
            </w:r>
            <w:r>
              <w:rPr>
                <w:rFonts w:cs="Times-Roman"/>
                <w:sz w:val="22"/>
                <w:szCs w:val="22"/>
              </w:rPr>
              <w:t xml:space="preserve"> </w:t>
            </w:r>
            <w:r w:rsidRPr="00354098">
              <w:rPr>
                <w:rFonts w:cs="Times-Roman"/>
                <w:sz w:val="22"/>
                <w:szCs w:val="22"/>
              </w:rPr>
              <w:t>tachycardia (at higher doses), bradycardia (initially or at very low doses), hypertension,</w:t>
            </w:r>
          </w:p>
          <w:p w:rsidR="00354098" w:rsidRPr="00354098" w:rsidRDefault="00354098" w:rsidP="00354098">
            <w:pPr>
              <w:autoSpaceDE w:val="0"/>
              <w:autoSpaceDN w:val="0"/>
              <w:adjustRightInd w:val="0"/>
              <w:rPr>
                <w:rFonts w:cs="Times-Roman"/>
                <w:sz w:val="22"/>
                <w:szCs w:val="22"/>
              </w:rPr>
            </w:pPr>
            <w:r w:rsidRPr="00354098">
              <w:rPr>
                <w:rFonts w:cs="Times-Roman"/>
                <w:sz w:val="22"/>
                <w:szCs w:val="22"/>
              </w:rPr>
              <w:t>hypotension, arrhythmias (ectopic complexes), and circulatory failure.</w:t>
            </w:r>
          </w:p>
        </w:tc>
      </w:tr>
    </w:tbl>
    <w:p w:rsidR="00B51981" w:rsidRPr="00354098" w:rsidRDefault="00B51981" w:rsidP="00B51981">
      <w:pPr>
        <w:rPr>
          <w:rFonts w:ascii="Cambria" w:hAnsi="Cambria"/>
        </w:rPr>
      </w:pPr>
    </w:p>
    <w:sectPr w:rsidR="00B51981" w:rsidRPr="00354098" w:rsidSect="00354098">
      <w:pgSz w:w="20160" w:h="12240" w:orient="landscape" w:code="5"/>
      <w:pgMar w:top="170" w:right="720" w:bottom="142"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Roman">
    <w:panose1 w:val="00000000000000000000"/>
    <w:charset w:val="00"/>
    <w:family w:val="auto"/>
    <w:notTrueType/>
    <w:pitch w:val="default"/>
    <w:sig w:usb0="00000003" w:usb1="00000000" w:usb2="00000000" w:usb3="00000000" w:csb0="00000001" w:csb1="00000000"/>
  </w:font>
  <w:font w:name="Times-Italic">
    <w:panose1 w:val="00000000000000000000"/>
    <w:charset w:val="00"/>
    <w:family w:val="auto"/>
    <w:notTrueType/>
    <w:pitch w:val="default"/>
    <w:sig w:usb0="00000003" w:usb1="00000000" w:usb2="00000000" w:usb3="00000000" w:csb0="00000001" w:csb1="00000000"/>
  </w:font>
  <w:font w:name="Times-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1A7432"/>
    <w:multiLevelType w:val="hybridMultilevel"/>
    <w:tmpl w:val="5550522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981"/>
    <w:rsid w:val="000B719E"/>
    <w:rsid w:val="00354098"/>
    <w:rsid w:val="00777449"/>
    <w:rsid w:val="00853DD9"/>
    <w:rsid w:val="00B51981"/>
    <w:rsid w:val="00E573C1"/>
  </w:rsids>
  <m:mathPr>
    <m:mathFont m:val="Cambria Math"/>
    <m:brkBin m:val="before"/>
    <m:brkBinSub m:val="--"/>
    <m:smallFrac m:val="0"/>
    <m:dispDef/>
    <m:lMargin m:val="0"/>
    <m:rMargin m:val="0"/>
    <m:defJc m:val="centerGroup"/>
    <m:wrapIndent m:val="1440"/>
    <m:intLim m:val="subSup"/>
    <m:naryLim m:val="undOvr"/>
  </m:mathPr>
  <w:themeFontLang w:val="en-T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64BFB"/>
  <w15:chartTrackingRefBased/>
  <w15:docId w15:val="{54327F25-8B17-445B-9CBD-4647B9A60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TT" w:eastAsia="en-US" w:bidi="ar-SA"/>
      </w:rPr>
    </w:rPrDefault>
    <w:pPrDefault>
      <w:pPr>
        <w:spacing w:before="240"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519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B51981"/>
    <w:pPr>
      <w:spacing w:before="0" w:line="240" w:lineRule="auto"/>
      <w:jc w:val="left"/>
    </w:pPr>
    <w:rPr>
      <w:rFonts w:ascii="Cambria" w:hAnsi="Cambr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51981"/>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54098"/>
    <w:pPr>
      <w:spacing w:before="0" w:after="200" w:line="276" w:lineRule="auto"/>
      <w:ind w:left="720"/>
      <w:contextualSpacing/>
      <w:jc w:val="left"/>
    </w:pPr>
    <w:rPr>
      <w:rFonts w:ascii="Cambria" w:hAnsi="Cambr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654</Words>
  <Characters>3728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Krystal Maharaj</dc:creator>
  <cp:keywords/>
  <dc:description/>
  <cp:lastModifiedBy>Krystal Maharaj</cp:lastModifiedBy>
  <cp:revision>4</cp:revision>
  <dcterms:created xsi:type="dcterms:W3CDTF">2018-09-08T04:06:00Z</dcterms:created>
  <dcterms:modified xsi:type="dcterms:W3CDTF">2018-09-08T08:05:00Z</dcterms:modified>
</cp:coreProperties>
</file>