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7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89"/>
        <w:gridCol w:w="1259"/>
        <w:gridCol w:w="3239"/>
        <w:gridCol w:w="1979"/>
        <w:gridCol w:w="2248"/>
        <w:gridCol w:w="2519"/>
        <w:gridCol w:w="2159"/>
        <w:gridCol w:w="3508"/>
      </w:tblGrid>
      <w:tr w:rsidR="00CB2AF9" w:rsidRPr="00CB2AF9" w:rsidTr="00CB2AF9">
        <w:trPr>
          <w:trHeight w:val="661"/>
        </w:trPr>
        <w:tc>
          <w:tcPr>
            <w:tcW w:w="2789" w:type="dxa"/>
          </w:tcPr>
          <w:p w:rsidR="00CB2AF9" w:rsidRPr="00CB2AF9" w:rsidRDefault="00CB2AF9" w:rsidP="00CB2AF9">
            <w:pPr>
              <w:rPr>
                <w:rFonts w:eastAsia="Calibri" w:cs="Times New Roman"/>
                <w:b/>
              </w:rPr>
            </w:pPr>
            <w:r w:rsidRPr="00CB2AF9">
              <w:rPr>
                <w:rFonts w:eastAsia="Calibri" w:cs="Times New Roman"/>
                <w:b/>
              </w:rPr>
              <w:t>Drug</w:t>
            </w:r>
          </w:p>
        </w:tc>
        <w:tc>
          <w:tcPr>
            <w:tcW w:w="1259" w:type="dxa"/>
          </w:tcPr>
          <w:p w:rsidR="00CB2AF9" w:rsidRPr="00CB2AF9" w:rsidRDefault="00CB2AF9" w:rsidP="00CB2AF9">
            <w:pPr>
              <w:rPr>
                <w:rFonts w:eastAsia="Calibri" w:cs="Times New Roman"/>
                <w:b/>
              </w:rPr>
            </w:pPr>
            <w:r w:rsidRPr="00CB2AF9">
              <w:rPr>
                <w:rFonts w:eastAsia="Calibri" w:cs="Times New Roman"/>
                <w:b/>
              </w:rPr>
              <w:t>Species</w:t>
            </w:r>
          </w:p>
        </w:tc>
        <w:tc>
          <w:tcPr>
            <w:tcW w:w="3239" w:type="dxa"/>
          </w:tcPr>
          <w:p w:rsidR="00CB2AF9" w:rsidRPr="00CB2AF9" w:rsidRDefault="00CB2AF9" w:rsidP="00CB2AF9">
            <w:pPr>
              <w:rPr>
                <w:rFonts w:eastAsia="Calibri" w:cs="Times New Roman"/>
                <w:b/>
              </w:rPr>
            </w:pPr>
            <w:r w:rsidRPr="00CB2AF9">
              <w:rPr>
                <w:rFonts w:eastAsia="Calibri" w:cs="Times New Roman"/>
                <w:b/>
              </w:rPr>
              <w:t>Indications</w:t>
            </w:r>
          </w:p>
        </w:tc>
        <w:tc>
          <w:tcPr>
            <w:tcW w:w="1979" w:type="dxa"/>
          </w:tcPr>
          <w:p w:rsidR="00CB2AF9" w:rsidRPr="00CB2AF9" w:rsidRDefault="00CB2AF9" w:rsidP="00CB2AF9">
            <w:pPr>
              <w:rPr>
                <w:rFonts w:eastAsia="Calibri" w:cs="Times New Roman"/>
                <w:b/>
              </w:rPr>
            </w:pPr>
            <w:r w:rsidRPr="00CB2AF9">
              <w:rPr>
                <w:rFonts w:eastAsia="Calibri" w:cs="Times New Roman"/>
                <w:b/>
              </w:rPr>
              <w:t>Therapeutic Dose</w:t>
            </w:r>
          </w:p>
        </w:tc>
        <w:tc>
          <w:tcPr>
            <w:tcW w:w="2248" w:type="dxa"/>
          </w:tcPr>
          <w:p w:rsidR="00CB2AF9" w:rsidRPr="00CB2AF9" w:rsidRDefault="00CB2AF9" w:rsidP="00CB2AF9">
            <w:pPr>
              <w:rPr>
                <w:rFonts w:eastAsia="Calibri" w:cs="Times New Roman"/>
                <w:b/>
              </w:rPr>
            </w:pPr>
            <w:r w:rsidRPr="00CB2AF9">
              <w:rPr>
                <w:rFonts w:eastAsia="Calibri" w:cs="Times New Roman"/>
                <w:b/>
              </w:rPr>
              <w:t>Lethal Dose/ Toxicity</w:t>
            </w:r>
          </w:p>
        </w:tc>
        <w:tc>
          <w:tcPr>
            <w:tcW w:w="2519" w:type="dxa"/>
          </w:tcPr>
          <w:p w:rsidR="00CB2AF9" w:rsidRPr="00CB2AF9" w:rsidRDefault="00CB2AF9" w:rsidP="00CB2AF9">
            <w:pPr>
              <w:rPr>
                <w:rFonts w:eastAsia="Calibri" w:cs="Times New Roman"/>
                <w:b/>
              </w:rPr>
            </w:pPr>
            <w:r w:rsidRPr="00CB2AF9">
              <w:rPr>
                <w:rFonts w:eastAsia="Calibri" w:cs="Times New Roman"/>
                <w:b/>
              </w:rPr>
              <w:t>Contraindications</w:t>
            </w:r>
          </w:p>
        </w:tc>
        <w:tc>
          <w:tcPr>
            <w:tcW w:w="2159" w:type="dxa"/>
          </w:tcPr>
          <w:p w:rsidR="00CB2AF9" w:rsidRPr="00CB2AF9" w:rsidRDefault="00CB2AF9" w:rsidP="00CB2AF9">
            <w:pPr>
              <w:rPr>
                <w:rFonts w:eastAsia="Calibri" w:cs="Times New Roman"/>
                <w:b/>
              </w:rPr>
            </w:pPr>
            <w:r w:rsidRPr="00CB2AF9">
              <w:rPr>
                <w:rFonts w:eastAsia="Calibri" w:cs="Times New Roman"/>
                <w:b/>
              </w:rPr>
              <w:t>Pharmacology</w:t>
            </w:r>
          </w:p>
        </w:tc>
        <w:tc>
          <w:tcPr>
            <w:tcW w:w="3508" w:type="dxa"/>
          </w:tcPr>
          <w:p w:rsidR="00CB2AF9" w:rsidRPr="00CB2AF9" w:rsidRDefault="00CB2AF9" w:rsidP="00CB2AF9">
            <w:pPr>
              <w:rPr>
                <w:rFonts w:eastAsia="Calibri" w:cs="Times New Roman"/>
                <w:b/>
              </w:rPr>
            </w:pPr>
            <w:r w:rsidRPr="00CB2AF9">
              <w:rPr>
                <w:rFonts w:eastAsia="Calibri" w:cs="Times New Roman"/>
                <w:b/>
              </w:rPr>
              <w:t>Adverse Effects</w:t>
            </w:r>
          </w:p>
        </w:tc>
      </w:tr>
      <w:tr w:rsidR="00CB2AF9" w:rsidRPr="00CB2AF9" w:rsidTr="00CB2AF9">
        <w:trPr>
          <w:trHeight w:val="10200"/>
        </w:trPr>
        <w:tc>
          <w:tcPr>
            <w:tcW w:w="2789" w:type="dxa"/>
          </w:tcPr>
          <w:p w:rsidR="00CB2AF9" w:rsidRPr="00CB2AF9" w:rsidRDefault="00CB2AF9" w:rsidP="00CB2AF9">
            <w:pPr>
              <w:ind w:left="-108"/>
              <w:rPr>
                <w:rFonts w:eastAsia="Calibri" w:cs="Times New Roman"/>
              </w:rPr>
            </w:pPr>
            <w:proofErr w:type="spellStart"/>
            <w:r w:rsidRPr="00CB2AF9">
              <w:rPr>
                <w:rFonts w:eastAsia="Calibri" w:cs="Times New Roman"/>
              </w:rPr>
              <w:t>Lutalyse</w:t>
            </w:r>
            <w:proofErr w:type="spellEnd"/>
            <w:r w:rsidRPr="00CB2AF9">
              <w:rPr>
                <w:rFonts w:eastAsia="Calibri" w:cs="Times New Roman"/>
              </w:rPr>
              <w:t xml:space="preserve"> Injection</w:t>
            </w:r>
          </w:p>
          <w:p w:rsidR="00CB2AF9" w:rsidRPr="00CB2AF9" w:rsidRDefault="00CB2AF9" w:rsidP="00CB2AF9">
            <w:pPr>
              <w:ind w:left="-108"/>
              <w:rPr>
                <w:rFonts w:eastAsia="Calibri" w:cs="Times New Roman"/>
              </w:rPr>
            </w:pPr>
            <w:r w:rsidRPr="00CB2AF9">
              <w:rPr>
                <w:rFonts w:eastAsia="Calibri" w:cs="Times New Roman"/>
              </w:rPr>
              <w:t>(</w:t>
            </w:r>
            <w:proofErr w:type="spellStart"/>
            <w:r w:rsidRPr="00CB2AF9">
              <w:rPr>
                <w:rFonts w:eastAsia="Calibri" w:cs="Times New Roman"/>
              </w:rPr>
              <w:t>Dinoprost</w:t>
            </w:r>
            <w:proofErr w:type="spellEnd"/>
            <w:r w:rsidRPr="00CB2AF9">
              <w:rPr>
                <w:rFonts w:eastAsia="Calibri" w:cs="Times New Roman"/>
              </w:rPr>
              <w:t xml:space="preserve"> Tromethamine Prostaglandin F2α</w:t>
            </w:r>
          </w:p>
          <w:p w:rsidR="00CB2AF9" w:rsidRPr="00CB2AF9" w:rsidRDefault="00CB2AF9" w:rsidP="00CB2AF9">
            <w:pPr>
              <w:ind w:left="-108"/>
              <w:rPr>
                <w:rFonts w:eastAsia="Calibri" w:cs="Times New Roman"/>
              </w:rPr>
            </w:pPr>
            <w:r w:rsidRPr="00CB2AF9">
              <w:rPr>
                <w:rFonts w:eastAsia="Calibri" w:cs="Times New Roman"/>
              </w:rPr>
              <w:t>Tromethamine)</w:t>
            </w:r>
          </w:p>
          <w:p w:rsidR="00CB2AF9" w:rsidRPr="00CB2AF9" w:rsidRDefault="00CB2AF9" w:rsidP="00CB2AF9">
            <w:pPr>
              <w:ind w:left="-108"/>
              <w:rPr>
                <w:rFonts w:eastAsia="Calibri" w:cs="Times New Roman"/>
              </w:rPr>
            </w:pPr>
          </w:p>
          <w:p w:rsidR="00CB2AF9" w:rsidRPr="00CB2AF9" w:rsidRDefault="00CB2AF9" w:rsidP="00CB2AF9">
            <w:pPr>
              <w:ind w:left="-108"/>
              <w:rPr>
                <w:rFonts w:eastAsia="Calibri" w:cs="Times New Roman"/>
              </w:rPr>
            </w:pPr>
            <w:r w:rsidRPr="00CB2AF9">
              <w:rPr>
                <w:rFonts w:eastAsia="Calibri" w:cs="Times New Roman"/>
                <w:noProof/>
              </w:rPr>
              <w:drawing>
                <wp:inline distT="0" distB="0" distL="0" distR="0" wp14:anchorId="798188CC" wp14:editId="7969E22E">
                  <wp:extent cx="1263485" cy="2066306"/>
                  <wp:effectExtent l="19050" t="0" r="0" b="0"/>
                  <wp:docPr id="3" name="Picture 1" descr="E:\Dr. Diptee Introduction and Lab 1\las\Drugs\IMG_20180904_145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r. Diptee Introduction and Lab 1\las\Drugs\IMG_20180904_145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398" r="23516" b="14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85" cy="2066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</w:tcPr>
          <w:p w:rsidR="00CB2AF9" w:rsidRPr="00CB2AF9" w:rsidRDefault="00CB2AF9" w:rsidP="00CB2AF9">
            <w:pPr>
              <w:rPr>
                <w:rFonts w:eastAsia="Calibri" w:cs="Times New Roman"/>
              </w:rPr>
            </w:pPr>
            <w:r w:rsidRPr="00CB2AF9">
              <w:rPr>
                <w:rFonts w:eastAsia="Calibri" w:cs="Times New Roman"/>
              </w:rPr>
              <w:t>Cattle, Horses, Swine, Sheep, Goats</w:t>
            </w:r>
          </w:p>
        </w:tc>
        <w:tc>
          <w:tcPr>
            <w:tcW w:w="3239" w:type="dxa"/>
          </w:tcPr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proofErr w:type="spellStart"/>
            <w:r w:rsidRPr="00CB2AF9">
              <w:rPr>
                <w:rFonts w:eastAsia="Calibri" w:cs="Times-Italic"/>
                <w:i/>
                <w:iCs/>
              </w:rPr>
              <w:t>Lutalyse</w:t>
            </w:r>
            <w:proofErr w:type="spellEnd"/>
            <w:r w:rsidRPr="00CB2AF9">
              <w:rPr>
                <w:rFonts w:eastAsia="Calibri" w:cs="Times-Italic"/>
                <w:i/>
                <w:iCs/>
              </w:rPr>
              <w:t xml:space="preserve">® </w:t>
            </w:r>
            <w:r w:rsidRPr="00CB2AF9">
              <w:rPr>
                <w:rFonts w:eastAsia="Calibri" w:cs="Times-Roman"/>
              </w:rPr>
              <w:t>(Upjohn) is labeled for use in cattle as a luteolytic agent for estrous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>synchronization, unobserved (silent) estrous in lactating dairy cattle, pyometra, and as an abortifacient in feedlot and non-lactating dairy cattle. It is labeled in swine to act as a parturient inducing agent. The product is labeled for use in mares as a luteolytic agent to control the time of estrus in cycling mares and to assist in inducing estrus in “difficult to breed mares.”</w:t>
            </w:r>
          </w:p>
        </w:tc>
        <w:tc>
          <w:tcPr>
            <w:tcW w:w="1979" w:type="dxa"/>
          </w:tcPr>
          <w:p w:rsidR="00CB2AF9" w:rsidRPr="00CB2AF9" w:rsidRDefault="00CB2AF9" w:rsidP="00CB2AF9">
            <w:pPr>
              <w:rPr>
                <w:rFonts w:ascii="Times New Roman" w:eastAsia="Calibri" w:hAnsi="Times New Roman" w:cs="Times New Roman"/>
              </w:rPr>
            </w:pPr>
            <w:r w:rsidRPr="00CB2AF9">
              <w:rPr>
                <w:rFonts w:ascii="Times New Roman" w:eastAsia="Calibri" w:hAnsi="Times New Roman" w:cs="Times New Roman"/>
              </w:rPr>
              <w:t>For estrus synchronization, inject 5 mL intramuscularly either once or twice at 10- to 12-day intervals.</w:t>
            </w:r>
          </w:p>
          <w:p w:rsidR="00CB2AF9" w:rsidRPr="00CB2AF9" w:rsidRDefault="00CB2AF9" w:rsidP="00CB2AF9">
            <w:pPr>
              <w:rPr>
                <w:rFonts w:ascii="Times New Roman" w:eastAsia="Calibri" w:hAnsi="Times New Roman" w:cs="Times New Roman"/>
              </w:rPr>
            </w:pPr>
            <w:r w:rsidRPr="00CB2AF9">
              <w:rPr>
                <w:rFonts w:ascii="Times New Roman" w:eastAsia="Calibri" w:hAnsi="Times New Roman" w:cs="Times New Roman"/>
              </w:rPr>
              <w:t>For treatment of unobserved estrus, inject a 5mL dose IM. If estrus has not been observed by 80 hours after injection, breed at 80 hours; if the cow returns to estrus, breed at the usual time relative to estrus.</w:t>
            </w:r>
          </w:p>
          <w:p w:rsidR="00CB2AF9" w:rsidRPr="00CB2AF9" w:rsidRDefault="00CB2AF9" w:rsidP="00CB2AF9">
            <w:pPr>
              <w:rPr>
                <w:rFonts w:eastAsia="Calibri" w:cs="Times-Roman"/>
              </w:rPr>
            </w:pPr>
            <w:r w:rsidRPr="00CB2AF9">
              <w:rPr>
                <w:rFonts w:ascii="Times New Roman" w:eastAsia="Calibri" w:hAnsi="Times New Roman" w:cs="Times New Roman"/>
              </w:rPr>
              <w:t>For postpartum treatment of pyometra, inject a dose of 5 mL IM at signs of pyometra</w:t>
            </w:r>
          </w:p>
        </w:tc>
        <w:tc>
          <w:tcPr>
            <w:tcW w:w="2248" w:type="dxa"/>
          </w:tcPr>
          <w:p w:rsidR="00CB2AF9" w:rsidRPr="00CB2AF9" w:rsidRDefault="00CB2AF9" w:rsidP="00CB2AF9">
            <w:pPr>
              <w:rPr>
                <w:rFonts w:eastAsia="Calibri" w:cs="Times-Roman"/>
              </w:rPr>
            </w:pPr>
            <w:r w:rsidRPr="00CB2AF9">
              <w:rPr>
                <w:rFonts w:eastAsia="Calibri" w:cs="Times New Roman"/>
              </w:rPr>
              <w:t>A slight and marked embryo lethal effect was observed in dams given 1.0 and 5.0 mg/kg/day respectively. This was due to the expected luteolytic properties of the drug.</w:t>
            </w:r>
          </w:p>
        </w:tc>
        <w:tc>
          <w:tcPr>
            <w:tcW w:w="2519" w:type="dxa"/>
          </w:tcPr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>Unless being used as an abortifacient or parturition inducer,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proofErr w:type="spellStart"/>
            <w:r w:rsidRPr="00CB2AF9">
              <w:rPr>
                <w:rFonts w:eastAsia="Calibri" w:cs="Times-Roman"/>
              </w:rPr>
              <w:t>dinoprost</w:t>
            </w:r>
            <w:proofErr w:type="spellEnd"/>
            <w:r w:rsidRPr="00CB2AF9">
              <w:rPr>
                <w:rFonts w:eastAsia="Calibri" w:cs="Times-Roman"/>
              </w:rPr>
              <w:t xml:space="preserve"> should not be used during pregnancy in all species. </w:t>
            </w:r>
            <w:proofErr w:type="spellStart"/>
            <w:r w:rsidRPr="00CB2AF9">
              <w:rPr>
                <w:rFonts w:eastAsia="Calibri" w:cs="Times-Roman"/>
              </w:rPr>
              <w:t>Dinoprost</w:t>
            </w:r>
            <w:proofErr w:type="spellEnd"/>
            <w:r w:rsidRPr="00CB2AF9">
              <w:rPr>
                <w:rFonts w:eastAsia="Calibri" w:cs="Times-Roman"/>
              </w:rPr>
              <w:t xml:space="preserve"> is contraindicated in animals with </w:t>
            </w:r>
            <w:proofErr w:type="spellStart"/>
            <w:r w:rsidRPr="00CB2AF9">
              <w:rPr>
                <w:rFonts w:eastAsia="Calibri" w:cs="Times-Roman"/>
              </w:rPr>
              <w:t>bronchoconstrictive</w:t>
            </w:r>
            <w:proofErr w:type="spellEnd"/>
            <w:r w:rsidRPr="00CB2AF9">
              <w:rPr>
                <w:rFonts w:eastAsia="Calibri" w:cs="Times-Roman"/>
              </w:rPr>
              <w:t xml:space="preserve"> respiratory disease (</w:t>
            </w:r>
            <w:r w:rsidRPr="00CB2AF9">
              <w:rPr>
                <w:rFonts w:eastAsia="Calibri" w:cs="Times-Italic"/>
                <w:i/>
                <w:iCs/>
              </w:rPr>
              <w:t>e.g.</w:t>
            </w:r>
            <w:r w:rsidRPr="00CB2AF9">
              <w:rPr>
                <w:rFonts w:eastAsia="Calibri" w:cs="Times-Roman"/>
              </w:rPr>
              <w:t>, asthma, “</w:t>
            </w:r>
            <w:proofErr w:type="spellStart"/>
            <w:r w:rsidRPr="00CB2AF9">
              <w:rPr>
                <w:rFonts w:eastAsia="Calibri" w:cs="Times-Roman"/>
              </w:rPr>
              <w:t>heavey</w:t>
            </w:r>
            <w:proofErr w:type="spellEnd"/>
            <w:r w:rsidRPr="00CB2AF9">
              <w:rPr>
                <w:rFonts w:eastAsia="Calibri" w:cs="Times-Roman"/>
              </w:rPr>
              <w:t>” horses). It should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>not be administered intravenously.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 xml:space="preserve">In swine, </w:t>
            </w:r>
            <w:proofErr w:type="spellStart"/>
            <w:r w:rsidRPr="00CB2AF9">
              <w:rPr>
                <w:rFonts w:eastAsia="Calibri" w:cs="Times-Roman"/>
              </w:rPr>
              <w:t>dinoprost</w:t>
            </w:r>
            <w:proofErr w:type="spellEnd"/>
            <w:r w:rsidRPr="00CB2AF9">
              <w:rPr>
                <w:rFonts w:eastAsia="Calibri" w:cs="Times-Roman"/>
              </w:rPr>
              <w:t xml:space="preserve"> should not be administered prior to 3 days of normal predicted farrowing as increased neonatal mortality may result.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 xml:space="preserve">According to the manufacturer, </w:t>
            </w:r>
            <w:proofErr w:type="spellStart"/>
            <w:r w:rsidRPr="00CB2AF9">
              <w:rPr>
                <w:rFonts w:eastAsia="Calibri" w:cs="Times-Roman"/>
              </w:rPr>
              <w:t>dinoprost</w:t>
            </w:r>
            <w:proofErr w:type="spellEnd"/>
            <w:r w:rsidRPr="00CB2AF9">
              <w:rPr>
                <w:rFonts w:eastAsia="Calibri" w:cs="Times-Roman"/>
              </w:rPr>
              <w:t xml:space="preserve"> is contraindicated in mares with acute or subacute disorders of the vascular system, GI tract, respiratory system or reproductive tract.</w:t>
            </w:r>
          </w:p>
        </w:tc>
        <w:tc>
          <w:tcPr>
            <w:tcW w:w="2159" w:type="dxa"/>
          </w:tcPr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 xml:space="preserve">Prostaglandin </w:t>
            </w:r>
            <w:r w:rsidRPr="00CB2AF9">
              <w:rPr>
                <w:rFonts w:eastAsia="Calibri" w:cs="Times New Roman"/>
              </w:rPr>
              <w:t>F2α</w:t>
            </w:r>
            <w:r w:rsidRPr="00CB2AF9">
              <w:rPr>
                <w:rFonts w:eastAsia="Calibri" w:cs="Times-Roman"/>
              </w:rPr>
              <w:t xml:space="preserve"> has several pharmacologic effects on the female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>reproductive system, including stimulation of myometrial activity, relaxation of the cervix,</w:t>
            </w:r>
          </w:p>
          <w:p w:rsidR="00CB2AF9" w:rsidRPr="00CB2AF9" w:rsidRDefault="00CB2AF9" w:rsidP="00CB2AF9">
            <w:pPr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 xml:space="preserve">inhibition of steroidogenesis by corpora </w:t>
            </w:r>
            <w:proofErr w:type="gramStart"/>
            <w:r w:rsidRPr="00CB2AF9">
              <w:rPr>
                <w:rFonts w:eastAsia="Calibri" w:cs="Times-Roman"/>
              </w:rPr>
              <w:t>lutea, and</w:t>
            </w:r>
            <w:proofErr w:type="gramEnd"/>
            <w:r w:rsidRPr="00CB2AF9">
              <w:rPr>
                <w:rFonts w:eastAsia="Calibri" w:cs="Times-Roman"/>
              </w:rPr>
              <w:t xml:space="preserve"> can potentially lyse corpora lutea.</w:t>
            </w:r>
          </w:p>
        </w:tc>
        <w:tc>
          <w:tcPr>
            <w:tcW w:w="3508" w:type="dxa"/>
          </w:tcPr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>In cattle, increased temperature has been reported when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>administered in overdose (5-10X recommended doses) quantities. Limited salivation and bacterial infections at the injection site have been reported. If administered intravenously,</w:t>
            </w:r>
            <w:r>
              <w:rPr>
                <w:rFonts w:eastAsia="Calibri" w:cs="Times-Roman"/>
              </w:rPr>
              <w:t xml:space="preserve"> </w:t>
            </w:r>
            <w:bookmarkStart w:id="0" w:name="_GoBack"/>
            <w:bookmarkEnd w:id="0"/>
            <w:r w:rsidRPr="00CB2AF9">
              <w:rPr>
                <w:rFonts w:eastAsia="Calibri" w:cs="Times-Roman"/>
              </w:rPr>
              <w:t>increased heart rates have been noted.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>In mares, transient decreased body (rectal) temperature and sweating have been reported most</w:t>
            </w:r>
            <w:r>
              <w:rPr>
                <w:rFonts w:eastAsia="Calibri" w:cs="Times-Roman"/>
              </w:rPr>
              <w:t xml:space="preserve"> </w:t>
            </w:r>
            <w:r w:rsidRPr="00CB2AF9">
              <w:rPr>
                <w:rFonts w:eastAsia="Calibri" w:cs="Times-Roman"/>
              </w:rPr>
              <w:t>often. Less frequently, increased respiratory and heart rates, ataxia, abdominal pain and lying</w:t>
            </w:r>
            <w:r>
              <w:rPr>
                <w:rFonts w:eastAsia="Calibri" w:cs="Times-Roman"/>
              </w:rPr>
              <w:t xml:space="preserve"> </w:t>
            </w:r>
            <w:r w:rsidRPr="00CB2AF9">
              <w:rPr>
                <w:rFonts w:eastAsia="Calibri" w:cs="Times-Roman"/>
              </w:rPr>
              <w:t>down have also been noted. These effects are generally seen within 15 minutes of administration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>and resolve within an hour.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  <w:r w:rsidRPr="00CB2AF9">
              <w:rPr>
                <w:rFonts w:eastAsia="Calibri" w:cs="Times-Roman"/>
              </w:rPr>
              <w:t xml:space="preserve">In swine, </w:t>
            </w:r>
            <w:proofErr w:type="spellStart"/>
            <w:r w:rsidRPr="00CB2AF9">
              <w:rPr>
                <w:rFonts w:eastAsia="Calibri" w:cs="Times-Roman"/>
              </w:rPr>
              <w:t>dinoprost</w:t>
            </w:r>
            <w:proofErr w:type="spellEnd"/>
            <w:r w:rsidRPr="00CB2AF9">
              <w:rPr>
                <w:rFonts w:eastAsia="Calibri" w:cs="Times-Roman"/>
              </w:rPr>
              <w:t xml:space="preserve"> has caused erythema and pruritus, urination, defecation, slight ataxia,</w:t>
            </w:r>
            <w:r>
              <w:rPr>
                <w:rFonts w:eastAsia="Calibri" w:cs="Times-Roman"/>
              </w:rPr>
              <w:t xml:space="preserve"> </w:t>
            </w:r>
            <w:r w:rsidRPr="00CB2AF9">
              <w:rPr>
                <w:rFonts w:eastAsia="Calibri" w:cs="Times-Roman"/>
              </w:rPr>
              <w:t>hyperpnea, dyspnea, nesting behavior, abdominal muscle spasms, tail movements, increased vocalization and salivation. These effects may last up to 3 hours. At doses of 10 times recommended, vomiting may be seen in swine</w:t>
            </w:r>
            <w:r w:rsidRPr="00CB2AF9">
              <w:rPr>
                <w:rFonts w:ascii="Times-Roman" w:eastAsia="Calibri" w:hAnsi="Times-Roman" w:cs="Times-Roman"/>
              </w:rPr>
              <w:t>.</w:t>
            </w: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</w:p>
          <w:p w:rsidR="00CB2AF9" w:rsidRPr="00CB2AF9" w:rsidRDefault="00CB2AF9" w:rsidP="00CB2AF9">
            <w:pPr>
              <w:autoSpaceDE w:val="0"/>
              <w:autoSpaceDN w:val="0"/>
              <w:adjustRightInd w:val="0"/>
              <w:rPr>
                <w:rFonts w:eastAsia="Calibri" w:cs="Times-Roman"/>
              </w:rPr>
            </w:pPr>
          </w:p>
        </w:tc>
      </w:tr>
    </w:tbl>
    <w:p w:rsidR="000B719E" w:rsidRDefault="000B719E" w:rsidP="00CB2AF9">
      <w:pPr>
        <w:ind w:right="839"/>
      </w:pPr>
    </w:p>
    <w:sectPr w:rsidR="000B719E" w:rsidSect="00CB2AF9">
      <w:pgSz w:w="20160" w:h="12240" w:orient="landscape" w:code="5"/>
      <w:pgMar w:top="113" w:right="0" w:bottom="113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F9"/>
    <w:rsid w:val="000B719E"/>
    <w:rsid w:val="00CB2AF9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DAA7"/>
  <w15:chartTrackingRefBased/>
  <w15:docId w15:val="{6C5B5425-D582-414F-9ACD-8F207296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AF9"/>
    <w:pPr>
      <w:spacing w:before="0" w:line="240" w:lineRule="auto"/>
      <w:jc w:val="left"/>
    </w:pPr>
    <w:rPr>
      <w:rFonts w:ascii="Cambria" w:hAnsi="Cambr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2018-09-08T04:11:00Z</dcterms:created>
  <dcterms:modified xsi:type="dcterms:W3CDTF">2018-09-08T04:16:00Z</dcterms:modified>
</cp:coreProperties>
</file>