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58" w:rsidRPr="00831A3A" w:rsidRDefault="00262258" w:rsidP="00262258">
      <w:pPr>
        <w:rPr>
          <w:color w:val="2F5496" w:themeColor="accent1" w:themeShade="BF"/>
          <w:u w:val="double"/>
        </w:rPr>
      </w:pPr>
      <w:r>
        <w:rPr>
          <w:color w:val="2F5496" w:themeColor="accent1" w:themeShade="BF"/>
          <w:u w:val="double"/>
        </w:rPr>
        <w:t>To administer Pen- Strep (</w:t>
      </w:r>
      <w:proofErr w:type="spellStart"/>
      <w:r>
        <w:rPr>
          <w:color w:val="2F5496" w:themeColor="accent1" w:themeShade="BF"/>
          <w:u w:val="double"/>
        </w:rPr>
        <w:t>Combikel</w:t>
      </w:r>
      <w:proofErr w:type="spellEnd"/>
      <w:r>
        <w:rPr>
          <w:rFonts w:cstheme="minorHAnsi"/>
          <w:color w:val="2F5496" w:themeColor="accent1" w:themeShade="BF"/>
          <w:u w:val="double"/>
        </w:rPr>
        <w:t>®)</w:t>
      </w:r>
      <w:r w:rsidRPr="00831A3A">
        <w:rPr>
          <w:color w:val="2F5496" w:themeColor="accent1" w:themeShade="BF"/>
          <w:u w:val="double"/>
        </w:rPr>
        <w:t xml:space="preserve">: </w:t>
      </w:r>
    </w:p>
    <w:p w:rsidR="00262258" w:rsidRPr="00831A3A" w:rsidRDefault="00262258" w:rsidP="00262258">
      <w:pPr>
        <w:numPr>
          <w:ilvl w:val="0"/>
          <w:numId w:val="1"/>
        </w:numPr>
        <w:rPr>
          <w:color w:val="2F5496" w:themeColor="accent1" w:themeShade="BF"/>
        </w:rPr>
      </w:pPr>
      <w:r w:rsidRPr="00831A3A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D3101" wp14:editId="457DC782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62258" w:rsidRPr="00ED4A93" w:rsidRDefault="00262258" w:rsidP="00262258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2258" w:rsidRPr="00ED4A93" w:rsidRDefault="00262258" w:rsidP="00262258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D31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" fillcolor="#a8d08d [1945]" stroked="f" strokeweight=".5pt">
                <v:shadow on="t" color="black" opacity="20971f" offset="0,2.2pt"/>
                <v:textbox>
                  <w:txbxContent>
                    <w:p w:rsidR="00262258" w:rsidRPr="00ED4A93" w:rsidRDefault="00262258" w:rsidP="00262258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262258" w:rsidRPr="00ED4A93" w:rsidRDefault="00262258" w:rsidP="00262258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F5496" w:themeColor="accent1" w:themeShade="BF"/>
        </w:rPr>
        <w:t>Dose: 10,000 IU</w:t>
      </w:r>
      <w:r w:rsidRPr="00831A3A">
        <w:rPr>
          <w:color w:val="2F5496" w:themeColor="accent1" w:themeShade="BF"/>
        </w:rPr>
        <w:t xml:space="preserve">/kg  </w:t>
      </w:r>
    </w:p>
    <w:p w:rsidR="00262258" w:rsidRPr="00831A3A" w:rsidRDefault="00262258" w:rsidP="00262258">
      <w:pPr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Concentration: 200,000 IU</w:t>
      </w:r>
      <w:r w:rsidRPr="00831A3A">
        <w:rPr>
          <w:color w:val="2F5496" w:themeColor="accent1" w:themeShade="BF"/>
        </w:rPr>
        <w:t>/mL</w:t>
      </w:r>
    </w:p>
    <w:p w:rsidR="00262258" w:rsidRPr="00831A3A" w:rsidRDefault="00B53B93" w:rsidP="00262258">
      <w:pPr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Weight of Cow #263: 15</w:t>
      </w:r>
      <w:r w:rsidR="00262258" w:rsidRPr="00831A3A">
        <w:rPr>
          <w:color w:val="2F5496" w:themeColor="accent1" w:themeShade="BF"/>
        </w:rPr>
        <w:t>0kg</w:t>
      </w:r>
    </w:p>
    <w:p w:rsidR="00262258" w:rsidRPr="00831A3A" w:rsidRDefault="00262258" w:rsidP="00262258">
      <w:pPr>
        <w:rPr>
          <w:color w:val="2F5496" w:themeColor="accent1" w:themeShade="B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F5496" w:themeColor="accent1" w:themeShade="BF"/>
            </w:rPr>
            <m:t>Volume=</m:t>
          </m:r>
          <m:f>
            <m:fPr>
              <m:ctrlPr>
                <w:rPr>
                  <w:rFonts w:ascii="Cambria Math" w:hAnsi="Cambria Math"/>
                  <w:i/>
                  <w:color w:val="2F5496" w:themeColor="accent1" w:themeShade="BF"/>
                </w:rPr>
              </m:ctrlPr>
            </m:fPr>
            <m:num>
              <m:r>
                <w:rPr>
                  <w:rFonts w:ascii="Cambria Math" w:hAnsi="Cambria Math"/>
                  <w:color w:val="2F5496" w:themeColor="accent1" w:themeShade="BF"/>
                </w:rPr>
                <m:t>15</m:t>
              </m:r>
              <m:r>
                <w:rPr>
                  <w:rFonts w:ascii="Cambria Math" w:hAnsi="Cambria Math"/>
                  <w:color w:val="2F5496" w:themeColor="accent1" w:themeShade="BF"/>
                </w:rPr>
                <m:t>0 kg ×10,000 IU/kg</m:t>
              </m:r>
            </m:num>
            <m:den>
              <m:r>
                <w:rPr>
                  <w:rFonts w:ascii="Cambria Math" w:hAnsi="Cambria Math"/>
                  <w:color w:val="2F5496" w:themeColor="accent1" w:themeShade="BF"/>
                </w:rPr>
                <m:t>200,000 IU/ml</m:t>
              </m:r>
            </m:den>
          </m:f>
        </m:oMath>
      </m:oMathPara>
    </w:p>
    <w:p w:rsidR="00262258" w:rsidRPr="00831A3A" w:rsidRDefault="00262258" w:rsidP="00262258">
      <w:pPr>
        <w:rPr>
          <w:color w:val="2F5496" w:themeColor="accent1" w:themeShade="B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F5496" w:themeColor="accent1" w:themeShade="BF"/>
            </w:rPr>
            <m:t>Volume=</m:t>
          </m:r>
          <m:r>
            <w:rPr>
              <w:rFonts w:ascii="Cambria Math" w:hAnsi="Cambria Math"/>
              <w:color w:val="FF0000"/>
            </w:rPr>
            <m:t>7.</m:t>
          </m:r>
          <m:r>
            <w:rPr>
              <w:rFonts w:ascii="Cambria Math" w:hAnsi="Cambria Math"/>
              <w:color w:val="FF0000"/>
            </w:rPr>
            <m:t>5</m:t>
          </m:r>
          <m:r>
            <w:rPr>
              <w:rFonts w:ascii="Cambria Math" w:hAnsi="Cambria Math"/>
              <w:color w:val="FF0000"/>
            </w:rPr>
            <m:t xml:space="preserve"> ml</m:t>
          </m:r>
        </m:oMath>
      </m:oMathPara>
      <w:bookmarkStart w:id="0" w:name="_GoBack"/>
      <w:bookmarkEnd w:id="0"/>
    </w:p>
    <w:p w:rsidR="00262258" w:rsidRDefault="00931F56" w:rsidP="00262258">
      <w:r>
        <w:rPr>
          <w:noProof/>
        </w:rPr>
        <w:drawing>
          <wp:inline distT="0" distB="0" distL="0" distR="0">
            <wp:extent cx="2019300" cy="324865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60" cy="325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56">
        <w:t xml:space="preserve"> </w:t>
      </w:r>
      <w:r>
        <w:rPr>
          <w:noProof/>
        </w:rPr>
        <w:drawing>
          <wp:inline distT="0" distB="0" distL="0" distR="0">
            <wp:extent cx="2036922" cy="3249295"/>
            <wp:effectExtent l="0" t="0" r="190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6"/>
                    <a:stretch/>
                  </pic:blipFill>
                  <pic:spPr bwMode="auto">
                    <a:xfrm>
                      <a:off x="0" y="0"/>
                      <a:ext cx="2045053" cy="32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1F56">
        <w:t xml:space="preserve"> </w:t>
      </w:r>
      <w:r>
        <w:rPr>
          <w:noProof/>
        </w:rPr>
        <w:drawing>
          <wp:inline distT="0" distB="0" distL="0" distR="0">
            <wp:extent cx="2466975" cy="325818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66" cy="326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56" w:rsidRPr="00931F56" w:rsidRDefault="00931F56" w:rsidP="00931F56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000000"/>
          <w:sz w:val="24"/>
          <w:szCs w:val="24"/>
          <w:lang w:eastAsia="en-TT"/>
        </w:rPr>
      </w:pPr>
      <w:r w:rsidRPr="00931F56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Penicillin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 shows a marked bactericidal action against most commonly occurring Gram-positive cocci, bacilli and anaerobes, </w:t>
      </w:r>
      <w:proofErr w:type="gramStart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and also</w:t>
      </w:r>
      <w:proofErr w:type="gramEnd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 against some Gram-negative germs (e.g. </w:t>
      </w:r>
      <w:proofErr w:type="spellStart"/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Actinobacillus</w:t>
      </w:r>
      <w:proofErr w:type="spellEnd"/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 xml:space="preserve">, Haemophilus, </w:t>
      </w:r>
      <w:proofErr w:type="spellStart"/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Leptospiren</w:t>
      </w:r>
      <w:proofErr w:type="spellEnd"/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, 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some </w:t>
      </w:r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Pasteurella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 strains, anaerobes such as </w:t>
      </w:r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Fusobacterium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 and </w:t>
      </w:r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Bacteroides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). 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br/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br/>
      </w:r>
      <w:r w:rsidRPr="00931F56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Dihydrostreptomycin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 is an aminoglycoside antibiotic predominantly active against Gram-negative cocci and bacilli, and against some Gram-positive bacteria (e.g. </w:t>
      </w:r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Staph. aureus, Mycobacterium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). 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br/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br/>
        <w:t>The</w:t>
      </w:r>
      <w:r w:rsidRPr="00931F56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 combination of DHS and penicillin 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provides a bactericidal synergistic action with a broad spectrum.</w:t>
      </w:r>
    </w:p>
    <w:p w:rsidR="00931F56" w:rsidRPr="00931F56" w:rsidRDefault="00931F56" w:rsidP="00931F56">
      <w:pPr>
        <w:spacing w:before="0" w:line="240" w:lineRule="auto"/>
        <w:jc w:val="left"/>
        <w:rPr>
          <w:rFonts w:eastAsia="Times New Roman" w:cstheme="minorHAnsi"/>
          <w:color w:val="000000"/>
          <w:sz w:val="24"/>
          <w:szCs w:val="24"/>
          <w:lang w:eastAsia="en-TT"/>
        </w:rPr>
      </w:pP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Prevention and treatment of infections caused by penicillin G and/or DHS susceptible microorganisms such as respiratory tract infections (shipping fever, </w:t>
      </w:r>
      <w:proofErr w:type="spellStart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bronchopneumonias</w:t>
      </w:r>
      <w:proofErr w:type="spellEnd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, upper respiratory tract infections), </w:t>
      </w:r>
      <w:proofErr w:type="spellStart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uro</w:t>
      </w:r>
      <w:proofErr w:type="spellEnd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-genital tract infections (e.g. pyelonephritis by </w:t>
      </w:r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Corynebacterium </w:t>
      </w:r>
      <w:proofErr w:type="spellStart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renale</w:t>
      </w:r>
      <w:proofErr w:type="spellEnd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, endometritis), infections of skin and wounds, </w:t>
      </w:r>
      <w:r w:rsidRPr="00931F56">
        <w:rPr>
          <w:rFonts w:eastAsia="Times New Roman" w:cstheme="minorHAnsi"/>
          <w:i/>
          <w:iCs/>
          <w:color w:val="000000"/>
          <w:sz w:val="24"/>
          <w:szCs w:val="24"/>
          <w:lang w:eastAsia="en-TT"/>
        </w:rPr>
        <w:t>streptococci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 infections in horses (strangles, Str. </w:t>
      </w:r>
      <w:proofErr w:type="spellStart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zooepidemicus</w:t>
      </w:r>
      <w:proofErr w:type="spellEnd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 infections in foals), erysipelas in pigs, </w:t>
      </w:r>
      <w:proofErr w:type="spellStart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panaritium</w:t>
      </w:r>
      <w:proofErr w:type="spellEnd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, </w:t>
      </w:r>
      <w:proofErr w:type="spellStart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>necrobacillosis</w:t>
      </w:r>
      <w:proofErr w:type="spellEnd"/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t xml:space="preserve"> in calves and piglets, anaerobe infections (clostridial infections, tetanus, anthrax), polyarthritis (navel ill), mastitis, septicaemia, bacterial infections secondary to viral ones.  </w:t>
      </w:r>
      <w:r w:rsidRPr="00931F56">
        <w:rPr>
          <w:rFonts w:eastAsia="Times New Roman" w:cstheme="minorHAnsi"/>
          <w:color w:val="000000"/>
          <w:sz w:val="24"/>
          <w:szCs w:val="24"/>
          <w:lang w:eastAsia="en-TT"/>
        </w:rPr>
        <w:br/>
        <w:t>The drug also can be used in postoperative prevention of infections.</w:t>
      </w:r>
    </w:p>
    <w:p w:rsidR="00931F56" w:rsidRPr="00931F56" w:rsidRDefault="00931F56" w:rsidP="00262258">
      <w:pPr>
        <w:rPr>
          <w:rFonts w:cstheme="minorHAnsi"/>
          <w:color w:val="2F5496" w:themeColor="accent1" w:themeShade="BF"/>
          <w:sz w:val="24"/>
          <w:szCs w:val="24"/>
        </w:rPr>
      </w:pPr>
    </w:p>
    <w:p w:rsidR="000B719E" w:rsidRDefault="001C7CEE" w:rsidP="00931F56">
      <w:pPr>
        <w:jc w:val="center"/>
      </w:pPr>
      <w:r>
        <w:rPr>
          <w:noProof/>
        </w:rPr>
        <w:lastRenderedPageBreak/>
        <w:drawing>
          <wp:inline distT="0" distB="0" distL="0" distR="0">
            <wp:extent cx="2733675" cy="5114925"/>
            <wp:effectExtent l="0" t="0" r="9525" b="9525"/>
            <wp:docPr id="3" name="Picture 3" descr="Image result for tetravet aero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travet aeros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9" r="30629"/>
                    <a:stretch/>
                  </pic:blipFill>
                  <pic:spPr bwMode="auto">
                    <a:xfrm>
                      <a:off x="0" y="0"/>
                      <a:ext cx="2739287" cy="512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6FA" w:rsidRDefault="005066FA" w:rsidP="00931F56">
      <w:pPr>
        <w:jc w:val="center"/>
      </w:pPr>
      <w:r>
        <w:rPr>
          <w:noProof/>
        </w:rPr>
        <w:drawing>
          <wp:inline distT="0" distB="0" distL="0" distR="0">
            <wp:extent cx="3858895" cy="39243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29"/>
                    <a:stretch/>
                  </pic:blipFill>
                  <pic:spPr bwMode="auto">
                    <a:xfrm>
                      <a:off x="0" y="0"/>
                      <a:ext cx="3861568" cy="39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6FA" w:rsidRPr="005066FA" w:rsidRDefault="005066FA" w:rsidP="005066FA">
      <w:pPr>
        <w:jc w:val="left"/>
        <w:rPr>
          <w:rFonts w:cstheme="minorHAnsi"/>
          <w:sz w:val="24"/>
          <w:szCs w:val="24"/>
        </w:rPr>
      </w:pPr>
      <w:r w:rsidRPr="005066FA">
        <w:rPr>
          <w:rFonts w:cstheme="minorHAnsi"/>
          <w:color w:val="242424"/>
          <w:sz w:val="24"/>
          <w:szCs w:val="24"/>
          <w:shd w:val="clear" w:color="auto" w:fill="FFFFFF"/>
        </w:rPr>
        <w:t>NFZ Wound Dressing is a water soluble antibacterial ointment for the prevention or treatment of surface bacterial infections of wounds, burns, and cutaneous ulcers. </w:t>
      </w:r>
    </w:p>
    <w:sectPr w:rsidR="005066FA" w:rsidRPr="005066FA" w:rsidSect="007F41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8"/>
    <w:rsid w:val="000B719E"/>
    <w:rsid w:val="001C7CEE"/>
    <w:rsid w:val="002127D9"/>
    <w:rsid w:val="00262258"/>
    <w:rsid w:val="005066FA"/>
    <w:rsid w:val="00931F56"/>
    <w:rsid w:val="00B53B93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563"/>
  <w15:chartTrackingRefBased/>
  <w15:docId w15:val="{492DCFF2-D5DC-4897-BCD0-819BD14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5</cp:revision>
  <dcterms:created xsi:type="dcterms:W3CDTF">2018-09-29T21:03:00Z</dcterms:created>
  <dcterms:modified xsi:type="dcterms:W3CDTF">2018-09-30T03:57:00Z</dcterms:modified>
</cp:coreProperties>
</file>