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5EB41" w14:textId="77777777" w:rsidR="009F2B81" w:rsidRPr="006F56BE" w:rsidRDefault="00536421">
      <w:pPr>
        <w:rPr>
          <w:rFonts w:cstheme="minorHAnsi"/>
          <w:b/>
          <w:sz w:val="28"/>
        </w:rPr>
      </w:pPr>
      <w:r w:rsidRPr="006F56BE">
        <w:rPr>
          <w:rFonts w:cstheme="minorHAnsi"/>
          <w:b/>
          <w:sz w:val="28"/>
        </w:rPr>
        <w:t>Disbudding</w:t>
      </w:r>
    </w:p>
    <w:p w14:paraId="215F134D" w14:textId="77777777" w:rsidR="00536421" w:rsidRPr="006F56BE" w:rsidRDefault="00536421">
      <w:pPr>
        <w:rPr>
          <w:rFonts w:cstheme="minorHAnsi"/>
          <w:b/>
          <w:sz w:val="24"/>
        </w:rPr>
      </w:pPr>
      <w:r w:rsidRPr="006F56BE">
        <w:rPr>
          <w:rFonts w:cstheme="minorHAnsi"/>
          <w:b/>
          <w:sz w:val="24"/>
        </w:rPr>
        <w:t>Post-procedure</w:t>
      </w:r>
    </w:p>
    <w:p w14:paraId="57744005" w14:textId="77777777" w:rsidR="00536421" w:rsidRPr="006F56BE" w:rsidRDefault="00536421">
      <w:pPr>
        <w:rPr>
          <w:rFonts w:cstheme="minorHAnsi"/>
          <w:sz w:val="24"/>
        </w:rPr>
      </w:pPr>
    </w:p>
    <w:p w14:paraId="21C8F1DC" w14:textId="77777777" w:rsidR="00163527" w:rsidRPr="006F56BE" w:rsidRDefault="00163527" w:rsidP="00163527">
      <w:pPr>
        <w:rPr>
          <w:rFonts w:cstheme="minorHAnsi"/>
          <w:b/>
          <w:sz w:val="24"/>
        </w:rPr>
      </w:pPr>
      <w:r w:rsidRPr="006F56BE">
        <w:rPr>
          <w:rFonts w:cstheme="minorHAnsi"/>
          <w:b/>
          <w:sz w:val="24"/>
        </w:rPr>
        <w:t>Ketamine stun (xylazine/ketamine)</w:t>
      </w:r>
    </w:p>
    <w:p w14:paraId="34F349EF" w14:textId="77777777" w:rsidR="00163527" w:rsidRPr="006F56BE" w:rsidRDefault="00163527" w:rsidP="00163527">
      <w:pPr>
        <w:rPr>
          <w:rFonts w:cstheme="minorHAnsi"/>
          <w:sz w:val="24"/>
        </w:rPr>
      </w:pPr>
      <w:r w:rsidRPr="006F56BE">
        <w:rPr>
          <w:rFonts w:cstheme="minorHAnsi"/>
          <w:sz w:val="24"/>
        </w:rPr>
        <w:t>The ketamine stun utilized for sedation of the calf induces its effects after about 2 minutes, reaching maximum effect after around 5 minutes post administration.</w:t>
      </w:r>
    </w:p>
    <w:p w14:paraId="74681476" w14:textId="77777777" w:rsidR="00163527" w:rsidRPr="006F56BE" w:rsidRDefault="00163527" w:rsidP="00163527">
      <w:pPr>
        <w:rPr>
          <w:rFonts w:cstheme="minorHAnsi"/>
          <w:sz w:val="24"/>
        </w:rPr>
      </w:pPr>
      <w:r w:rsidRPr="006F56BE">
        <w:rPr>
          <w:rFonts w:cstheme="minorHAnsi"/>
          <w:noProof/>
          <w:sz w:val="24"/>
          <w:lang w:eastAsia="en-TT"/>
        </w:rPr>
        <w:drawing>
          <wp:anchor distT="0" distB="0" distL="114300" distR="114300" simplePos="0" relativeHeight="251659264" behindDoc="0" locked="0" layoutInCell="1" allowOverlap="1" wp14:anchorId="2B6ACD10" wp14:editId="3B49B774">
            <wp:simplePos x="0" y="0"/>
            <wp:positionH relativeFrom="column">
              <wp:posOffset>4438650</wp:posOffset>
            </wp:positionH>
            <wp:positionV relativeFrom="paragraph">
              <wp:posOffset>11430</wp:posOffset>
            </wp:positionV>
            <wp:extent cx="1892935" cy="2524125"/>
            <wp:effectExtent l="0" t="0" r="0" b="9525"/>
            <wp:wrapSquare wrapText="bothSides"/>
            <wp:docPr id="1" name="Picture 1" descr="C:\Users\Natalie Modeste\Downloads\42622664_743170919408685_2881584818351505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Modeste\Downloads\42622664_743170919408685_288158481835150540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E5ED60" w14:textId="77777777" w:rsidR="00163527" w:rsidRPr="006F56BE" w:rsidRDefault="00163527" w:rsidP="00163527">
      <w:pPr>
        <w:rPr>
          <w:rFonts w:cstheme="minorHAnsi"/>
          <w:sz w:val="24"/>
        </w:rPr>
      </w:pPr>
      <w:r w:rsidRPr="006F56BE">
        <w:rPr>
          <w:rFonts w:cstheme="minorHAnsi"/>
          <w:sz w:val="24"/>
        </w:rPr>
        <w:t>Signs observed upon onset include:</w:t>
      </w:r>
    </w:p>
    <w:p w14:paraId="2AD0551E" w14:textId="77777777" w:rsidR="00163527" w:rsidRPr="006F56BE" w:rsidRDefault="00163527" w:rsidP="00163527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6F56BE">
        <w:rPr>
          <w:rFonts w:cstheme="minorHAnsi"/>
          <w:sz w:val="24"/>
        </w:rPr>
        <w:t>Increased salivation</w:t>
      </w:r>
    </w:p>
    <w:p w14:paraId="155E2031" w14:textId="77777777" w:rsidR="00163527" w:rsidRPr="006F56BE" w:rsidRDefault="00163527" w:rsidP="00163527">
      <w:pPr>
        <w:pStyle w:val="ListParagraph"/>
        <w:rPr>
          <w:rFonts w:cstheme="minorHAnsi"/>
          <w:sz w:val="24"/>
        </w:rPr>
      </w:pPr>
    </w:p>
    <w:p w14:paraId="5705A56E" w14:textId="77777777" w:rsidR="00163527" w:rsidRPr="006F56BE" w:rsidRDefault="00163527" w:rsidP="00163527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6F56BE">
        <w:rPr>
          <w:rFonts w:cstheme="minorHAnsi"/>
          <w:sz w:val="24"/>
        </w:rPr>
        <w:t xml:space="preserve">Voiding of urine and faeces </w:t>
      </w:r>
    </w:p>
    <w:p w14:paraId="0EA85E8E" w14:textId="77777777" w:rsidR="00163527" w:rsidRPr="006F56BE" w:rsidRDefault="00163527" w:rsidP="00163527">
      <w:pPr>
        <w:ind w:firstLine="720"/>
        <w:rPr>
          <w:rFonts w:cstheme="minorHAnsi"/>
          <w:sz w:val="24"/>
        </w:rPr>
      </w:pPr>
      <w:r w:rsidRPr="006F56BE">
        <w:rPr>
          <w:rFonts w:cstheme="minorHAnsi"/>
          <w:sz w:val="24"/>
        </w:rPr>
        <w:t>(Our calf began urinating 11mins after the block was given)</w:t>
      </w:r>
      <w:r w:rsidRPr="006F56BE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C402F25" w14:textId="77777777" w:rsidR="00163527" w:rsidRPr="006F56BE" w:rsidRDefault="00163527" w:rsidP="00163527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6F56BE">
        <w:rPr>
          <w:rFonts w:cstheme="minorHAnsi"/>
          <w:sz w:val="24"/>
        </w:rPr>
        <w:t>Lowering of the head</w:t>
      </w:r>
    </w:p>
    <w:p w14:paraId="755D9C2B" w14:textId="77777777" w:rsidR="00163527" w:rsidRPr="006F56BE" w:rsidRDefault="00163527" w:rsidP="00163527">
      <w:pPr>
        <w:pStyle w:val="ListParagraph"/>
        <w:rPr>
          <w:rFonts w:cstheme="minorHAnsi"/>
          <w:sz w:val="24"/>
        </w:rPr>
      </w:pPr>
    </w:p>
    <w:p w14:paraId="233D1608" w14:textId="77777777" w:rsidR="00163527" w:rsidRPr="006F56BE" w:rsidRDefault="00163527" w:rsidP="00163527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6F56BE">
        <w:rPr>
          <w:rFonts w:cstheme="minorHAnsi"/>
          <w:sz w:val="24"/>
        </w:rPr>
        <w:t>Decrease in alertness</w:t>
      </w:r>
    </w:p>
    <w:p w14:paraId="798306D9" w14:textId="77777777" w:rsidR="00163527" w:rsidRPr="006F56BE" w:rsidRDefault="00163527" w:rsidP="00163527">
      <w:pPr>
        <w:rPr>
          <w:rFonts w:cstheme="minorHAnsi"/>
          <w:sz w:val="24"/>
        </w:rPr>
      </w:pPr>
    </w:p>
    <w:p w14:paraId="32AA99C9" w14:textId="77777777" w:rsidR="00163527" w:rsidRPr="006F56BE" w:rsidRDefault="00163527" w:rsidP="00163527">
      <w:pPr>
        <w:rPr>
          <w:rFonts w:cstheme="minorHAnsi"/>
          <w:sz w:val="24"/>
        </w:rPr>
      </w:pPr>
    </w:p>
    <w:p w14:paraId="55DA7DAC" w14:textId="77777777" w:rsidR="00163527" w:rsidRPr="006F56BE" w:rsidRDefault="00163527" w:rsidP="00163527">
      <w:pPr>
        <w:rPr>
          <w:rFonts w:cstheme="minorHAnsi"/>
          <w:b/>
          <w:sz w:val="24"/>
        </w:rPr>
      </w:pPr>
      <w:r w:rsidRPr="006F56BE">
        <w:rPr>
          <w:rFonts w:cstheme="minorHAnsi"/>
          <w:b/>
          <w:sz w:val="24"/>
        </w:rPr>
        <w:t>Cornual block of the lacrimal nerve</w:t>
      </w:r>
    </w:p>
    <w:p w14:paraId="3A141E87" w14:textId="5296B42B" w:rsidR="00163527" w:rsidRPr="006F56BE" w:rsidRDefault="00163527" w:rsidP="00163527">
      <w:pPr>
        <w:rPr>
          <w:rFonts w:cstheme="minorHAnsi"/>
          <w:sz w:val="24"/>
        </w:rPr>
      </w:pPr>
      <w:r w:rsidRPr="006F56BE">
        <w:rPr>
          <w:rFonts w:cstheme="minorHAnsi"/>
          <w:sz w:val="24"/>
        </w:rPr>
        <w:t xml:space="preserve">2% lidocaine </w:t>
      </w:r>
      <w:r w:rsidR="006F56BE">
        <w:rPr>
          <w:rFonts w:cstheme="minorHAnsi"/>
          <w:sz w:val="24"/>
        </w:rPr>
        <w:t xml:space="preserve">was </w:t>
      </w:r>
      <w:r w:rsidRPr="006F56BE">
        <w:rPr>
          <w:rFonts w:cstheme="minorHAnsi"/>
          <w:sz w:val="24"/>
        </w:rPr>
        <w:t>administere</w:t>
      </w:r>
      <w:r w:rsidR="006F56BE">
        <w:rPr>
          <w:rFonts w:cstheme="minorHAnsi"/>
          <w:sz w:val="24"/>
        </w:rPr>
        <w:t>d</w:t>
      </w:r>
      <w:r w:rsidRPr="006F56BE">
        <w:rPr>
          <w:rFonts w:cstheme="minorHAnsi"/>
          <w:sz w:val="24"/>
        </w:rPr>
        <w:t xml:space="preserve"> t</w:t>
      </w:r>
      <w:r w:rsidR="006F56BE">
        <w:rPr>
          <w:rFonts w:cstheme="minorHAnsi"/>
          <w:sz w:val="24"/>
        </w:rPr>
        <w:t>o</w:t>
      </w:r>
      <w:r w:rsidRPr="006F56BE">
        <w:rPr>
          <w:rFonts w:cstheme="minorHAnsi"/>
          <w:sz w:val="24"/>
        </w:rPr>
        <w:t xml:space="preserve"> block the cor</w:t>
      </w:r>
      <w:r w:rsidR="006F56BE">
        <w:rPr>
          <w:rFonts w:cstheme="minorHAnsi"/>
          <w:sz w:val="24"/>
        </w:rPr>
        <w:t>nual</w:t>
      </w:r>
      <w:r w:rsidRPr="006F56BE">
        <w:rPr>
          <w:rFonts w:cstheme="minorHAnsi"/>
          <w:sz w:val="24"/>
        </w:rPr>
        <w:t xml:space="preserve"> branch of the lacrimal nerve typically its effects </w:t>
      </w:r>
      <w:r w:rsidR="001048D0" w:rsidRPr="006F56BE">
        <w:rPr>
          <w:rFonts w:cstheme="minorHAnsi"/>
          <w:sz w:val="24"/>
        </w:rPr>
        <w:t xml:space="preserve">initiates </w:t>
      </w:r>
      <w:r w:rsidRPr="006F56BE">
        <w:rPr>
          <w:rFonts w:cstheme="minorHAnsi"/>
          <w:sz w:val="24"/>
        </w:rPr>
        <w:t>within 2-5 minutes. Its anaesthetic effects last approximately 1- 1½ hours, providing sufficient time to conduct the d</w:t>
      </w:r>
      <w:r w:rsidR="006F56BE">
        <w:rPr>
          <w:rFonts w:cstheme="minorHAnsi"/>
          <w:sz w:val="24"/>
        </w:rPr>
        <w:t>isbudding</w:t>
      </w:r>
      <w:r w:rsidRPr="006F56BE">
        <w:rPr>
          <w:rFonts w:cstheme="minorHAnsi"/>
          <w:sz w:val="24"/>
        </w:rPr>
        <w:t xml:space="preserve"> procedure with greater ease.</w:t>
      </w:r>
    </w:p>
    <w:p w14:paraId="30E4023A" w14:textId="77777777" w:rsidR="00163527" w:rsidRPr="006F56BE" w:rsidRDefault="00163527" w:rsidP="00163527">
      <w:pPr>
        <w:rPr>
          <w:rFonts w:cstheme="minorHAnsi"/>
          <w:sz w:val="24"/>
        </w:rPr>
      </w:pPr>
    </w:p>
    <w:p w14:paraId="3636351A" w14:textId="6B6A4ACA" w:rsidR="00163527" w:rsidRPr="006F56BE" w:rsidRDefault="00163527" w:rsidP="00163527">
      <w:pPr>
        <w:rPr>
          <w:rFonts w:cstheme="minorHAnsi"/>
          <w:sz w:val="24"/>
        </w:rPr>
      </w:pPr>
      <w:r w:rsidRPr="006F56BE">
        <w:rPr>
          <w:rFonts w:cstheme="minorHAnsi"/>
          <w:sz w:val="24"/>
        </w:rPr>
        <w:t>The block is confirmed by the needle prick test, where a needle is used to repeatedly pierce the skin of the corium surrounding the base of the horn. Absence of a reaction when this is done</w:t>
      </w:r>
      <w:r w:rsidR="006F56BE">
        <w:rPr>
          <w:rFonts w:cstheme="minorHAnsi"/>
          <w:sz w:val="24"/>
        </w:rPr>
        <w:t xml:space="preserve">, </w:t>
      </w:r>
      <w:r w:rsidRPr="006F56BE">
        <w:rPr>
          <w:rFonts w:cstheme="minorHAnsi"/>
          <w:sz w:val="24"/>
        </w:rPr>
        <w:t>confirms complete desensitization of the area, ensuring the block has taken full effect.</w:t>
      </w:r>
    </w:p>
    <w:p w14:paraId="589FEB9A" w14:textId="77777777" w:rsidR="00536421" w:rsidRPr="006F56BE" w:rsidRDefault="00536421">
      <w:pPr>
        <w:rPr>
          <w:rFonts w:cstheme="minorHAnsi"/>
          <w:sz w:val="24"/>
        </w:rPr>
      </w:pPr>
    </w:p>
    <w:p w14:paraId="0A1E65E4" w14:textId="77777777" w:rsidR="00163527" w:rsidRPr="006F56BE" w:rsidRDefault="00163527">
      <w:pPr>
        <w:rPr>
          <w:rFonts w:cstheme="minorHAnsi"/>
          <w:b/>
          <w:sz w:val="24"/>
        </w:rPr>
      </w:pPr>
      <w:r w:rsidRPr="006F56BE">
        <w:rPr>
          <w:rFonts w:cstheme="minorHAnsi"/>
          <w:b/>
          <w:sz w:val="24"/>
        </w:rPr>
        <w:t>Post-disbudding</w:t>
      </w:r>
    </w:p>
    <w:p w14:paraId="4B37815E" w14:textId="5A4E8A82" w:rsidR="00163527" w:rsidRDefault="00163527">
      <w:pPr>
        <w:rPr>
          <w:rFonts w:ascii="Times New Roman" w:hAnsi="Times New Roman" w:cs="Times New Roman"/>
          <w:sz w:val="24"/>
        </w:rPr>
      </w:pPr>
      <w:r w:rsidRPr="006F56BE">
        <w:rPr>
          <w:rFonts w:cstheme="minorHAnsi"/>
          <w:sz w:val="24"/>
        </w:rPr>
        <w:t xml:space="preserve">Use of the </w:t>
      </w:r>
      <w:proofErr w:type="spellStart"/>
      <w:r w:rsidRPr="006F56BE">
        <w:rPr>
          <w:rFonts w:cstheme="minorHAnsi"/>
          <w:sz w:val="24"/>
        </w:rPr>
        <w:t>disbudder</w:t>
      </w:r>
      <w:proofErr w:type="spellEnd"/>
      <w:r w:rsidRPr="006F56BE">
        <w:rPr>
          <w:rFonts w:cstheme="minorHAnsi"/>
          <w:sz w:val="24"/>
        </w:rPr>
        <w:t xml:space="preserve"> must be done carefully to ensure full coverage of the area w</w:t>
      </w:r>
      <w:r w:rsidR="007C7CB7" w:rsidRPr="006F56BE">
        <w:rPr>
          <w:rFonts w:cstheme="minorHAnsi"/>
          <w:sz w:val="24"/>
        </w:rPr>
        <w:t>here the germinal epithelium is located. The cauterization must be adequate right around the horn bud to ensure the prevention of regrowth. This is observed by a dark brown ring that circles the horn bud, affecting both the horn and the surrounding cori</w:t>
      </w:r>
      <w:r w:rsidR="007C7CB7">
        <w:rPr>
          <w:rFonts w:ascii="Times New Roman" w:hAnsi="Times New Roman" w:cs="Times New Roman"/>
          <w:sz w:val="24"/>
        </w:rPr>
        <w:t>um.</w:t>
      </w:r>
    </w:p>
    <w:p w14:paraId="1224963D" w14:textId="3EC3847B" w:rsidR="00803F81" w:rsidRPr="000F35CD" w:rsidRDefault="00803F81">
      <w:pPr>
        <w:rPr>
          <w:rFonts w:cstheme="minorHAnsi"/>
          <w:b/>
          <w:sz w:val="24"/>
          <w:u w:val="single"/>
        </w:rPr>
      </w:pPr>
      <w:r w:rsidRPr="000F35CD">
        <w:rPr>
          <w:rFonts w:cstheme="minorHAnsi"/>
          <w:b/>
          <w:sz w:val="24"/>
          <w:u w:val="single"/>
        </w:rPr>
        <w:lastRenderedPageBreak/>
        <w:t xml:space="preserve">Wound Care </w:t>
      </w:r>
    </w:p>
    <w:p w14:paraId="6DBE3B52" w14:textId="3A943A85" w:rsidR="00803F81" w:rsidRPr="000F35CD" w:rsidRDefault="00803F81">
      <w:pPr>
        <w:rPr>
          <w:rFonts w:cstheme="minorHAnsi"/>
          <w:sz w:val="24"/>
        </w:rPr>
      </w:pPr>
      <w:r w:rsidRPr="000F35CD">
        <w:rPr>
          <w:rFonts w:cstheme="minorHAnsi"/>
          <w:sz w:val="24"/>
        </w:rPr>
        <w:t>With</w:t>
      </w:r>
      <w:bookmarkStart w:id="0" w:name="_GoBack"/>
      <w:bookmarkEnd w:id="0"/>
      <w:r w:rsidRPr="000F35CD">
        <w:rPr>
          <w:rFonts w:cstheme="minorHAnsi"/>
          <w:sz w:val="24"/>
        </w:rPr>
        <w:t xml:space="preserve"> disbudding, no open wounds were created while using the hot iron disbudding technique therefore it is of least risk to the animal. Fly management is of utmost importance and topical antibiotics. </w:t>
      </w:r>
    </w:p>
    <w:sectPr w:rsidR="00803F81" w:rsidRPr="000F3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35D16"/>
    <w:multiLevelType w:val="hybridMultilevel"/>
    <w:tmpl w:val="64987856"/>
    <w:lvl w:ilvl="0" w:tplc="F7DE8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21"/>
    <w:rsid w:val="000F35CD"/>
    <w:rsid w:val="001048D0"/>
    <w:rsid w:val="00163527"/>
    <w:rsid w:val="003A7A50"/>
    <w:rsid w:val="00536421"/>
    <w:rsid w:val="006F56BE"/>
    <w:rsid w:val="007C7CB7"/>
    <w:rsid w:val="00803F81"/>
    <w:rsid w:val="009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34BE"/>
  <w15:chartTrackingRefBased/>
  <w15:docId w15:val="{F7D331C4-73AD-43BD-9005-78FFA0FA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Elisheba Walcott</cp:lastModifiedBy>
  <cp:revision>6</cp:revision>
  <dcterms:created xsi:type="dcterms:W3CDTF">2018-09-29T13:54:00Z</dcterms:created>
  <dcterms:modified xsi:type="dcterms:W3CDTF">2018-09-30T22:46:00Z</dcterms:modified>
</cp:coreProperties>
</file>