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28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196"/>
        <w:gridCol w:w="1995"/>
        <w:gridCol w:w="2565"/>
        <w:gridCol w:w="1075"/>
        <w:gridCol w:w="3951"/>
        <w:gridCol w:w="1030"/>
        <w:gridCol w:w="1030"/>
      </w:tblGrid>
      <w:tr w:rsidR="008A792A" w:rsidTr="002702C7">
        <w:trPr>
          <w:trHeight w:val="1493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Drug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Indic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tion/Purpose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Contraindications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Route of admini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tration</w:t>
            </w:r>
          </w:p>
        </w:tc>
        <w:tc>
          <w:tcPr>
            <w:tcW w:w="3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Calculation for dose &amp; toxic dose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rPr>
                <w:b/>
                <w:bCs/>
              </w:rPr>
              <w:t>Conce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tration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r>
              <w:rPr>
                <w:rFonts w:ascii="Calibri" w:eastAsia="Calibri" w:hAnsi="Calibri" w:cs="Calibri"/>
                <w:color w:val="000000"/>
                <w:u w:color="000000"/>
              </w:rPr>
              <w:t>WDT</w:t>
            </w:r>
          </w:p>
        </w:tc>
      </w:tr>
      <w:tr w:rsidR="008A792A" w:rsidTr="002702C7">
        <w:trPr>
          <w:trHeight w:val="9250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lastRenderedPageBreak/>
              <w:t>Xylazine (active ingredient - xylazine hydroc</w:t>
            </w:r>
            <w:r>
              <w:t>h</w:t>
            </w:r>
            <w:r>
              <w:t xml:space="preserve">loride. Other names - rompun) 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Used as a sedative and for analgesia, and used as pre anesthetic/pre medication before administration of local/general anaesthetic.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Cattle are very sens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tive to xylazine </w:t>
            </w:r>
          </w:p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Contraindicated in 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imals who have been given epinephrine</w:t>
            </w:r>
          </w:p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Contraindicated in 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imals with active ve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tricular arrhythmias, hypotension, urinary tract obstructions, shock, and hepatic, cardiac and respirat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ry dysfunction</w:t>
            </w:r>
          </w:p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not be given to pregnant animals in their 3rd trimester - can cause uterine co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traction</w:t>
            </w:r>
          </w:p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 lead to early del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very </w:t>
            </w:r>
          </w:p>
          <w:p w:rsidR="008A792A" w:rsidRDefault="001D304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use in patients with oesophageal 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struction, torsion of the stomach - drug appear to worsen 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fects of the obstru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tion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IM</w:t>
            </w:r>
          </w:p>
        </w:tc>
        <w:tc>
          <w:tcPr>
            <w:tcW w:w="3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0.05 mg/kg </w:t>
            </w:r>
          </w:p>
          <w:p w:rsidR="008A792A" w:rsidRDefault="008A792A">
            <w:pPr>
              <w:pStyle w:val="Body"/>
            </w:pPr>
          </w:p>
          <w:p w:rsidR="008A792A" w:rsidRDefault="00D80A79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Kid: [(0.05 mg/kg X 8.4</w:t>
            </w:r>
            <w:r w:rsidR="001D3041">
              <w:rPr>
                <w:rFonts w:ascii="Calibri" w:eastAsia="Calibri" w:hAnsi="Calibri" w:cs="Calibri"/>
              </w:rPr>
              <w:t xml:space="preserve"> kg)/20 mg/ml)] = 0.</w:t>
            </w:r>
            <w:r>
              <w:rPr>
                <w:rFonts w:ascii="Calibri" w:eastAsia="Calibri" w:hAnsi="Calibri" w:cs="Calibri"/>
              </w:rPr>
              <w:t>021</w:t>
            </w:r>
            <w:r w:rsidR="001D304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ml</w:t>
            </w:r>
          </w:p>
          <w:p w:rsidR="00D80A79" w:rsidRDefault="00D80A79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Dose was extremely small so a sol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tion was made up with saline</w:t>
            </w:r>
          </w:p>
          <w:p w:rsidR="00D80A79" w:rsidRDefault="00D80A79">
            <w:pPr>
              <w:pStyle w:val="Body"/>
              <w:rPr>
                <w:rFonts w:ascii="Calibri" w:eastAsia="Calibri" w:hAnsi="Calibri" w:cs="Calibri"/>
              </w:rPr>
            </w:pPr>
          </w:p>
          <w:p w:rsidR="00D80A79" w:rsidRDefault="00D80A79">
            <w:pPr>
              <w:pStyle w:val="Body"/>
            </w:pPr>
            <w:r>
              <w:rPr>
                <w:rFonts w:ascii="Calibri" w:eastAsia="Calibri" w:hAnsi="Calibri" w:cs="Calibri"/>
              </w:rPr>
              <w:t>(0.05 mg/kg x 8.4 kg)</w:t>
            </w:r>
            <w:r w:rsidR="00F66164">
              <w:rPr>
                <w:rFonts w:ascii="Calibri" w:eastAsia="Calibri" w:hAnsi="Calibri" w:cs="Calibri"/>
              </w:rPr>
              <w:t xml:space="preserve"> = 0.42ml</w:t>
            </w:r>
          </w:p>
          <w:p w:rsidR="008A792A" w:rsidRDefault="008A792A">
            <w:pPr>
              <w:pStyle w:val="Body"/>
            </w:pPr>
          </w:p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reversal Tolazoline doses:</w:t>
            </w:r>
          </w:p>
          <w:p w:rsidR="008A792A" w:rsidRDefault="00F66164">
            <w:pPr>
              <w:pStyle w:val="Body"/>
            </w:pPr>
            <w:r>
              <w:rPr>
                <w:rFonts w:ascii="Calibri" w:eastAsia="Calibri" w:hAnsi="Calibri" w:cs="Calibri"/>
              </w:rPr>
              <w:t>2x: [(0.1 X 8.4)/100] = 0.0084</w:t>
            </w:r>
            <w:r w:rsidR="001D3041">
              <w:rPr>
                <w:rFonts w:ascii="Calibri" w:eastAsia="Calibri" w:hAnsi="Calibri" w:cs="Calibri"/>
              </w:rPr>
              <w:t xml:space="preserve"> ml</w:t>
            </w:r>
          </w:p>
          <w:p w:rsidR="008A792A" w:rsidRDefault="00F66164">
            <w:pPr>
              <w:pStyle w:val="Body"/>
            </w:pPr>
            <w:r>
              <w:rPr>
                <w:rFonts w:ascii="Calibri" w:eastAsia="Calibri" w:hAnsi="Calibri" w:cs="Calibri"/>
              </w:rPr>
              <w:t>4x: [(0.2 X 8.4)/100] = 0.0168</w:t>
            </w:r>
            <w:r w:rsidR="001D3041">
              <w:rPr>
                <w:rFonts w:ascii="Calibri" w:eastAsia="Calibri" w:hAnsi="Calibri" w:cs="Calibri"/>
              </w:rPr>
              <w:t xml:space="preserve"> ml</w:t>
            </w:r>
          </w:p>
          <w:p w:rsidR="008A792A" w:rsidRDefault="008A792A">
            <w:pPr>
              <w:pStyle w:val="Body"/>
            </w:pPr>
          </w:p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2%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r>
              <w:rPr>
                <w:rFonts w:cs="Arial Unicode MS"/>
                <w:color w:val="000000"/>
                <w:u w:color="000000"/>
              </w:rPr>
              <w:t xml:space="preserve">MEAT 4 days </w:t>
            </w:r>
          </w:p>
          <w:p w:rsidR="008A792A" w:rsidRDefault="008A792A"/>
          <w:p w:rsidR="008A792A" w:rsidRDefault="001D3041">
            <w:r>
              <w:rPr>
                <w:rFonts w:cs="Arial Unicode MS"/>
                <w:color w:val="000000"/>
                <w:u w:color="000000"/>
              </w:rPr>
              <w:t xml:space="preserve">Milk 24 hours </w:t>
            </w:r>
          </w:p>
          <w:p w:rsidR="008A792A" w:rsidRDefault="008A792A"/>
        </w:tc>
      </w:tr>
      <w:tr w:rsidR="008A792A" w:rsidTr="002702C7">
        <w:trPr>
          <w:trHeight w:val="9690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lastRenderedPageBreak/>
              <w:t>Ketamine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Analgesia 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always use in conjun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tion with xylazine, atropine</w:t>
            </w:r>
          </w:p>
          <w:p w:rsidR="008A792A" w:rsidRDefault="001D3041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/>
              </w:rPr>
            </w:pPr>
            <w:r>
              <w:t>can cause increased CSF pressure, should not be used in p</w:t>
            </w:r>
            <w:r>
              <w:t>a</w:t>
            </w:r>
            <w:r>
              <w:t>tients with high intr</w:t>
            </w:r>
            <w:r>
              <w:t>a</w:t>
            </w:r>
            <w:r>
              <w:t xml:space="preserve">ocular pressure or if there has been head trauma. </w:t>
            </w:r>
          </w:p>
          <w:p w:rsidR="008A792A" w:rsidRPr="004A529C" w:rsidRDefault="001D3041">
            <w:pPr>
              <w:pStyle w:val="BodyA"/>
              <w:widowControl w:val="0"/>
              <w:numPr>
                <w:ilvl w:val="0"/>
                <w:numId w:val="3"/>
              </w:numPr>
              <w:spacing w:after="240" w:line="280" w:lineRule="atLeast"/>
            </w:pPr>
            <w:r w:rsidRPr="004A529C">
              <w:t>can increase heart rate and blood pre</w:t>
            </w:r>
            <w:r w:rsidRPr="004A529C">
              <w:t>s</w:t>
            </w:r>
            <w:r w:rsidRPr="004A529C">
              <w:t>sure and so should not be used in patients where an i</w:t>
            </w:r>
            <w:r w:rsidRPr="004A529C">
              <w:t>n</w:t>
            </w:r>
            <w:r w:rsidRPr="004A529C">
              <w:t>crease in heart rate, blood pressure and myoca</w:t>
            </w:r>
            <w:r w:rsidRPr="004A529C">
              <w:t>r</w:t>
            </w:r>
            <w:r w:rsidRPr="004A529C">
              <w:t>dial oxygen consum</w:t>
            </w:r>
            <w:r w:rsidRPr="004A529C">
              <w:t>p</w:t>
            </w:r>
            <w:r w:rsidRPr="004A529C">
              <w:t xml:space="preserve">tion can be risky (eg. shock or congestive heart failure). </w:t>
            </w:r>
          </w:p>
          <w:p w:rsidR="008A792A" w:rsidRDefault="001D3041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/>
              </w:rPr>
            </w:pPr>
            <w:r>
              <w:t xml:space="preserve">should be carefully used in animals with preexisting seizure disorders </w:t>
            </w:r>
          </w:p>
          <w:p w:rsidR="008A792A" w:rsidRDefault="001D3041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/>
              </w:rPr>
            </w:pPr>
            <w:r>
              <w:t xml:space="preserve">should not be used in procedures involving the pharynx, larynx or </w:t>
            </w:r>
            <w:r>
              <w:lastRenderedPageBreak/>
              <w:t>trachea. Ketamine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lastRenderedPageBreak/>
              <w:t>IM</w:t>
            </w:r>
          </w:p>
        </w:tc>
        <w:tc>
          <w:tcPr>
            <w:tcW w:w="3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4A529C">
            <w:pPr>
              <w:pStyle w:val="BodyA"/>
              <w:widowControl w:val="0"/>
              <w:numPr>
                <w:ilvl w:val="0"/>
                <w:numId w:val="5"/>
              </w:numPr>
              <w:spacing w:after="240" w:line="28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1D3041">
              <w:rPr>
                <w:rFonts w:ascii="Trebuchet MS" w:hAnsi="Trebuchet MS"/>
              </w:rPr>
              <w:t xml:space="preserve"> mg/kg</w:t>
            </w:r>
          </w:p>
          <w:p w:rsidR="008A792A" w:rsidRDefault="008A792A">
            <w:pPr>
              <w:pStyle w:val="BodyA"/>
              <w:widowControl w:val="0"/>
              <w:spacing w:after="240" w:line="280" w:lineRule="atLeast"/>
              <w:rPr>
                <w:rFonts w:ascii="Trebuchet MS" w:eastAsia="Trebuchet MS" w:hAnsi="Trebuchet MS" w:cs="Trebuchet MS"/>
              </w:rPr>
            </w:pPr>
          </w:p>
          <w:p w:rsidR="008A792A" w:rsidRDefault="004A529C">
            <w:pPr>
              <w:pStyle w:val="BodyA"/>
              <w:widowControl w:val="0"/>
              <w:spacing w:after="240" w:line="280" w:lineRule="atLeas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[5mg/kg X 8.4 kg)/100 mg/ml] = 0.42</w:t>
            </w:r>
            <w:r w:rsidR="001D3041">
              <w:rPr>
                <w:rFonts w:ascii="Trebuchet MS" w:hAnsi="Trebuchet MS"/>
              </w:rPr>
              <w:t xml:space="preserve"> ml</w:t>
            </w:r>
          </w:p>
          <w:p w:rsidR="008A792A" w:rsidRDefault="008A792A" w:rsidP="004A529C">
            <w:pPr>
              <w:pStyle w:val="BodyA"/>
              <w:widowControl w:val="0"/>
              <w:spacing w:after="240" w:line="280" w:lineRule="atLeast"/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r>
              <w:rPr>
                <w:rFonts w:cs="Arial Unicode MS"/>
                <w:color w:val="000000"/>
                <w:u w:color="000000"/>
              </w:rPr>
              <w:t>Meat - 3 days, milk 48 hours</w:t>
            </w:r>
          </w:p>
        </w:tc>
      </w:tr>
      <w:tr w:rsidR="008A792A" w:rsidTr="002702C7">
        <w:trPr>
          <w:trHeight w:val="2250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lastRenderedPageBreak/>
              <w:t>Ketamine stun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Xylazine + ket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mine = addition of small dose of 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tamine to provide chemical restraint 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8A792A"/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IM</w:t>
            </w:r>
          </w:p>
        </w:tc>
        <w:tc>
          <w:tcPr>
            <w:tcW w:w="3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Using previous calculations, mixed…</w:t>
            </w:r>
          </w:p>
          <w:p w:rsidR="008A792A" w:rsidRDefault="004A529C">
            <w:pPr>
              <w:pStyle w:val="Body"/>
            </w:pPr>
            <w:r>
              <w:rPr>
                <w:rFonts w:ascii="Calibri" w:eastAsia="Calibri" w:hAnsi="Calibri" w:cs="Calibri"/>
              </w:rPr>
              <w:t>0.42ml + 0.42ml = 0.84ml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8A792A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8A792A"/>
        </w:tc>
      </w:tr>
      <w:tr w:rsidR="008A792A" w:rsidTr="002702C7">
        <w:trPr>
          <w:trHeight w:val="5570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t>Lidocaine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2C7" w:rsidRDefault="001D3041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local anaesthetic used to provide a loss of sens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tion/analgesia. </w:t>
            </w:r>
            <w:r w:rsidR="002702C7">
              <w:rPr>
                <w:rFonts w:ascii="Calibri" w:eastAsia="Calibri" w:hAnsi="Calibri" w:cs="Calibri"/>
              </w:rPr>
              <w:t>Can also be used intravenously to provide an</w:t>
            </w:r>
          </w:p>
          <w:p w:rsidR="008A792A" w:rsidRDefault="002702C7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 ana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gesic effect</w:t>
            </w:r>
          </w:p>
        </w:tc>
        <w:tc>
          <w:tcPr>
            <w:tcW w:w="2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A"/>
            </w:pPr>
            <w:r>
              <w:t>- should not be used with epinephrine IV.</w:t>
            </w:r>
          </w:p>
          <w:p w:rsidR="008A792A" w:rsidRDefault="001D3041">
            <w:pPr>
              <w:pStyle w:val="BodyA"/>
            </w:pPr>
            <w:r>
              <w:t>- do not use in patients with hypersensitivity to amide class local ane</w:t>
            </w:r>
            <w:r>
              <w:t>s</w:t>
            </w:r>
            <w:r>
              <w:t xml:space="preserve">thetics </w:t>
            </w:r>
          </w:p>
          <w:p w:rsidR="008A792A" w:rsidRDefault="001D3041">
            <w:pPr>
              <w:pStyle w:val="BodyA"/>
            </w:pPr>
            <w:r>
              <w:t>- do not give to patients with AV, SA or intrave</w:t>
            </w:r>
            <w:r>
              <w:t>n</w:t>
            </w:r>
            <w:r>
              <w:t>tricular heart block.</w:t>
            </w:r>
          </w:p>
          <w:p w:rsidR="008A792A" w:rsidRDefault="001D3041">
            <w:pPr>
              <w:pStyle w:val="BodyA"/>
            </w:pPr>
            <w:r>
              <w:t>- take caution with a</w:t>
            </w:r>
            <w:r>
              <w:t>d</w:t>
            </w:r>
            <w:r>
              <w:t>ministration to patients in shock or with respir</w:t>
            </w:r>
            <w:r>
              <w:t>a</w:t>
            </w:r>
            <w:r>
              <w:t>tory depression, liver disease, congestive heart failure &amp; hypov</w:t>
            </w:r>
            <w:r>
              <w:t>o</w:t>
            </w:r>
            <w:r>
              <w:t>lemia.</w:t>
            </w:r>
          </w:p>
        </w:tc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2702C7">
            <w:pPr>
              <w:pStyle w:val="Body"/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3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2702C7">
            <w:pPr>
              <w:pStyle w:val="BodyA"/>
              <w:widowControl w:val="0"/>
              <w:spacing w:after="240" w:line="28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1mg/kg</w:t>
            </w:r>
          </w:p>
          <w:p w:rsidR="002702C7" w:rsidRPr="002702C7" w:rsidRDefault="002702C7">
            <w:pPr>
              <w:pStyle w:val="BodyA"/>
              <w:widowControl w:val="0"/>
              <w:spacing w:after="240" w:line="28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(1mg/kg x 8.4kg)/20mg/ml           =    0.42 ml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pPr>
              <w:pStyle w:val="Body"/>
            </w:pPr>
            <w:r>
              <w:rPr>
                <w:rFonts w:ascii="Calibri" w:eastAsia="Calibri" w:hAnsi="Calibri" w:cs="Calibri"/>
              </w:rPr>
              <w:t>2%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92A" w:rsidRDefault="001D3041">
            <w:r>
              <w:rPr>
                <w:rFonts w:cs="Arial Unicode MS"/>
                <w:color w:val="000000"/>
                <w:u w:color="000000"/>
              </w:rPr>
              <w:t>Meat -1 day, milk - 24 hrs</w:t>
            </w:r>
          </w:p>
        </w:tc>
      </w:tr>
    </w:tbl>
    <w:p w:rsidR="008A792A" w:rsidRDefault="008A792A" w:rsidP="00237C0C">
      <w:pPr>
        <w:pStyle w:val="Body"/>
        <w:widowControl w:val="0"/>
        <w:pBdr>
          <w:bottom w:val="nil"/>
        </w:pBdr>
      </w:pPr>
    </w:p>
    <w:p w:rsidR="00237C0C" w:rsidRDefault="00237C0C" w:rsidP="00237C0C">
      <w:pPr>
        <w:pStyle w:val="Body"/>
        <w:widowControl w:val="0"/>
        <w:pBdr>
          <w:bottom w:val="nil"/>
        </w:pBdr>
        <w:rPr>
          <w:b/>
          <w:u w:val="single"/>
        </w:rPr>
      </w:pPr>
    </w:p>
    <w:p w:rsidR="00237C0C" w:rsidRDefault="00237C0C" w:rsidP="00237C0C">
      <w:pPr>
        <w:pStyle w:val="Body"/>
        <w:widowControl w:val="0"/>
        <w:pBdr>
          <w:bottom w:val="nil"/>
        </w:pBdr>
        <w:rPr>
          <w:b/>
          <w:u w:val="single"/>
        </w:rPr>
      </w:pPr>
    </w:p>
    <w:p w:rsidR="00237C0C" w:rsidRDefault="00237C0C" w:rsidP="00237C0C">
      <w:pPr>
        <w:pStyle w:val="Body"/>
        <w:widowControl w:val="0"/>
        <w:pBdr>
          <w:bottom w:val="nil"/>
        </w:pBdr>
        <w:rPr>
          <w:b/>
          <w:u w:val="single"/>
        </w:rPr>
      </w:pPr>
    </w:p>
    <w:p w:rsidR="00834A3E" w:rsidRDefault="00834A3E" w:rsidP="00237C0C">
      <w:pPr>
        <w:pStyle w:val="Body"/>
        <w:widowControl w:val="0"/>
        <w:pBdr>
          <w:bottom w:val="nil"/>
        </w:pBdr>
        <w:rPr>
          <w:b/>
          <w:u w:val="single"/>
        </w:rPr>
      </w:pPr>
      <w:r w:rsidRPr="00237C0C">
        <w:rPr>
          <w:b/>
          <w:u w:val="single"/>
        </w:rPr>
        <w:lastRenderedPageBreak/>
        <w:t>Constant Rate Infusion</w:t>
      </w:r>
    </w:p>
    <w:p w:rsidR="00237C0C" w:rsidRDefault="00237C0C" w:rsidP="00237C0C">
      <w:pPr>
        <w:pStyle w:val="Body"/>
        <w:widowControl w:val="0"/>
        <w:pBdr>
          <w:bottom w:val="nil"/>
        </w:pBdr>
        <w:rPr>
          <w:b/>
          <w:u w:val="single"/>
        </w:rPr>
      </w:pPr>
    </w:p>
    <w:p w:rsidR="00237C0C" w:rsidRDefault="00237C0C" w:rsidP="00237C0C">
      <w:pPr>
        <w:pStyle w:val="Body"/>
        <w:widowControl w:val="0"/>
        <w:pBdr>
          <w:bottom w:val="nil"/>
        </w:pBdr>
      </w:pPr>
      <w:r>
        <w:t>This allows for a more stable method of analgesic delivery, it reduces the likelihood of breakthrough pain and allows for greater co</w:t>
      </w:r>
      <w:r>
        <w:t>n</w:t>
      </w:r>
      <w:r>
        <w:t>trol over drug administration</w:t>
      </w:r>
      <w:r w:rsidR="00574390">
        <w:t>. There is also a reduction in dose related side effects and no repeated injections. A combination of       x</w:t>
      </w:r>
      <w:r w:rsidR="00574390">
        <w:t>y</w:t>
      </w:r>
      <w:r w:rsidR="00574390">
        <w:t>lazine, ketamine and lidocaine were mixed into a fluid bag</w:t>
      </w:r>
      <w:r w:rsidR="00F52F8A">
        <w:t>.</w:t>
      </w:r>
    </w:p>
    <w:p w:rsidR="00F52F8A" w:rsidRDefault="00F52F8A" w:rsidP="00237C0C">
      <w:pPr>
        <w:pStyle w:val="Body"/>
        <w:widowControl w:val="0"/>
        <w:pBdr>
          <w:bottom w:val="nil"/>
        </w:pBdr>
      </w:pPr>
    </w:p>
    <w:p w:rsidR="00574390" w:rsidRDefault="00F52F8A" w:rsidP="00237C0C">
      <w:pPr>
        <w:pStyle w:val="Body"/>
        <w:widowControl w:val="0"/>
        <w:pBdr>
          <w:bottom w:val="nil"/>
        </w:pBdr>
      </w:pPr>
      <w:r>
        <w:t>(8.4 kg x 5ml/kg/hr x 60 drops/ml)/60min/hr x 60sec/min = 0.7 drops every 2 seconds</w:t>
      </w:r>
    </w:p>
    <w:p w:rsidR="00605309" w:rsidRDefault="00605309" w:rsidP="00237C0C">
      <w:pPr>
        <w:pStyle w:val="Body"/>
        <w:widowControl w:val="0"/>
        <w:pBdr>
          <w:bottom w:val="nil"/>
        </w:pBdr>
      </w:pPr>
    </w:p>
    <w:p w:rsidR="00605309" w:rsidRDefault="00605309" w:rsidP="00237C0C">
      <w:pPr>
        <w:pStyle w:val="Body"/>
        <w:widowControl w:val="0"/>
        <w:pBdr>
          <w:bottom w:val="nil"/>
        </w:pBdr>
      </w:pPr>
      <w:r>
        <w:t xml:space="preserve">For concentration in fluid bag: 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VsCs = VeCe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Vs x 20 = 10ml x 1mg/ml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Vs = 0.5ml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9.5ml saline + 0.5ml xylazine = stock solution</w:t>
      </w:r>
    </w:p>
    <w:p w:rsidR="00605309" w:rsidRDefault="00605309" w:rsidP="00237C0C">
      <w:pPr>
        <w:pStyle w:val="Body"/>
        <w:widowControl w:val="0"/>
        <w:pBdr>
          <w:bottom w:val="nil"/>
        </w:pBdr>
      </w:pP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Ballpark figures were used in Lactated Ringer’s Solution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5ml xylazine</w:t>
      </w:r>
    </w:p>
    <w:p w:rsidR="00605309" w:rsidRDefault="00605309" w:rsidP="00237C0C">
      <w:pPr>
        <w:pStyle w:val="Body"/>
        <w:widowControl w:val="0"/>
        <w:pBdr>
          <w:bottom w:val="nil"/>
        </w:pBdr>
      </w:pPr>
      <w:r>
        <w:t>10ml Lidocaine</w:t>
      </w:r>
    </w:p>
    <w:p w:rsidR="00605309" w:rsidRPr="00237C0C" w:rsidRDefault="00605309" w:rsidP="00237C0C">
      <w:pPr>
        <w:pStyle w:val="Body"/>
        <w:widowControl w:val="0"/>
        <w:pBdr>
          <w:bottom w:val="nil"/>
        </w:pBdr>
      </w:pPr>
      <w:r>
        <w:t>10ml ketamine</w:t>
      </w:r>
    </w:p>
    <w:sectPr w:rsidR="00605309" w:rsidRPr="00237C0C" w:rsidSect="0009118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CA" w:rsidRDefault="008B12CA">
      <w:r>
        <w:separator/>
      </w:r>
    </w:p>
  </w:endnote>
  <w:endnote w:type="continuationSeparator" w:id="1">
    <w:p w:rsidR="008B12CA" w:rsidRDefault="008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A" w:rsidRDefault="008A792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CA" w:rsidRDefault="008B12CA">
      <w:r>
        <w:separator/>
      </w:r>
    </w:p>
  </w:footnote>
  <w:footnote w:type="continuationSeparator" w:id="1">
    <w:p w:rsidR="008B12CA" w:rsidRDefault="008B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A" w:rsidRDefault="008A792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E1E"/>
    <w:multiLevelType w:val="hybridMultilevel"/>
    <w:tmpl w:val="5204DD9A"/>
    <w:lvl w:ilvl="0" w:tplc="D7BA7F3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45B2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A6CA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48AD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6C50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21A3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AD58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2ADA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2E44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580B6E"/>
    <w:multiLevelType w:val="hybridMultilevel"/>
    <w:tmpl w:val="4E3255B0"/>
    <w:lvl w:ilvl="0" w:tplc="A9DE5964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0593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00F9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C235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56B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AFD3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2416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18B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A007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633E72"/>
    <w:multiLevelType w:val="hybridMultilevel"/>
    <w:tmpl w:val="B78C06D6"/>
    <w:lvl w:ilvl="0" w:tplc="8FB8EC2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00EAA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0DF1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2461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D83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67560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C26C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E1A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0B26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E2684F"/>
    <w:multiLevelType w:val="hybridMultilevel"/>
    <w:tmpl w:val="E6141F9E"/>
    <w:lvl w:ilvl="0" w:tplc="409CF17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A13DA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8ECA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846F2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4CC7E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271B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67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ACF7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4979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245726"/>
    <w:multiLevelType w:val="hybridMultilevel"/>
    <w:tmpl w:val="43B04A20"/>
    <w:lvl w:ilvl="0" w:tplc="431CE45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2DA8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63E2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E7AE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6D4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CB1B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C0C0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6A15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CD3F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A5182D"/>
    <w:multiLevelType w:val="hybridMultilevel"/>
    <w:tmpl w:val="3836EE00"/>
    <w:lvl w:ilvl="0" w:tplc="0E9495C8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682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E8FB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A711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0A46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6079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2370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D3A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87D3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B060704"/>
    <w:multiLevelType w:val="hybridMultilevel"/>
    <w:tmpl w:val="9D381CD2"/>
    <w:lvl w:ilvl="0" w:tplc="23EC991E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02692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E798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26B2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8A47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6992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61E3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8291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675C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lvl w:ilvl="0" w:tplc="431CE452">
        <w:start w:val="1"/>
        <w:numFmt w:val="bullet"/>
        <w:lvlText w:val="-"/>
        <w:lvlJc w:val="left"/>
        <w:pPr>
          <w:ind w:left="1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2DA8E">
        <w:start w:val="1"/>
        <w:numFmt w:val="bullet"/>
        <w:lvlText w:val="-"/>
        <w:lvlJc w:val="left"/>
        <w:pPr>
          <w:ind w:left="7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F63E22">
        <w:start w:val="1"/>
        <w:numFmt w:val="bullet"/>
        <w:lvlText w:val="-"/>
        <w:lvlJc w:val="left"/>
        <w:pPr>
          <w:ind w:left="13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CE7AEA">
        <w:start w:val="1"/>
        <w:numFmt w:val="bullet"/>
        <w:lvlText w:val="-"/>
        <w:lvlJc w:val="left"/>
        <w:pPr>
          <w:ind w:left="19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26D4A">
        <w:start w:val="1"/>
        <w:numFmt w:val="bullet"/>
        <w:lvlText w:val="-"/>
        <w:lvlJc w:val="left"/>
        <w:pPr>
          <w:ind w:left="25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9CB1B2">
        <w:start w:val="1"/>
        <w:numFmt w:val="bullet"/>
        <w:lvlText w:val="-"/>
        <w:lvlJc w:val="left"/>
        <w:pPr>
          <w:ind w:left="31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7C0C0A">
        <w:start w:val="1"/>
        <w:numFmt w:val="bullet"/>
        <w:lvlText w:val="-"/>
        <w:lvlJc w:val="left"/>
        <w:pPr>
          <w:ind w:left="37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86A15E">
        <w:start w:val="1"/>
        <w:numFmt w:val="bullet"/>
        <w:lvlText w:val="-"/>
        <w:lvlJc w:val="left"/>
        <w:pPr>
          <w:ind w:left="43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CD3F2">
        <w:start w:val="1"/>
        <w:numFmt w:val="bullet"/>
        <w:lvlText w:val="-"/>
        <w:lvlJc w:val="left"/>
        <w:pPr>
          <w:ind w:left="49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92A"/>
    <w:rsid w:val="0006291B"/>
    <w:rsid w:val="0009118D"/>
    <w:rsid w:val="001D3041"/>
    <w:rsid w:val="00237C0C"/>
    <w:rsid w:val="002702C7"/>
    <w:rsid w:val="004A529C"/>
    <w:rsid w:val="00574390"/>
    <w:rsid w:val="00605309"/>
    <w:rsid w:val="006A08FB"/>
    <w:rsid w:val="00834A3E"/>
    <w:rsid w:val="008A792A"/>
    <w:rsid w:val="008B12CA"/>
    <w:rsid w:val="00D80A79"/>
    <w:rsid w:val="00F52F8A"/>
    <w:rsid w:val="00F6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1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18D"/>
    <w:rPr>
      <w:u w:val="single"/>
    </w:rPr>
  </w:style>
  <w:style w:type="paragraph" w:customStyle="1" w:styleId="HeaderFooter">
    <w:name w:val="Header &amp; Footer"/>
    <w:rsid w:val="000911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9118D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9118D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06291B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Hall</dc:creator>
  <cp:lastModifiedBy>Gavin Hall</cp:lastModifiedBy>
  <cp:revision>4</cp:revision>
  <dcterms:created xsi:type="dcterms:W3CDTF">2018-10-14T19:42:00Z</dcterms:created>
  <dcterms:modified xsi:type="dcterms:W3CDTF">2018-10-14T21:17:00Z</dcterms:modified>
</cp:coreProperties>
</file>