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3-Accent4"/>
        <w:tblW w:w="18712" w:type="dxa"/>
        <w:tblLook w:val="04A0" w:firstRow="1" w:lastRow="0" w:firstColumn="1" w:lastColumn="0" w:noHBand="0" w:noVBand="1"/>
      </w:tblPr>
      <w:tblGrid>
        <w:gridCol w:w="2197"/>
        <w:gridCol w:w="5309"/>
        <w:gridCol w:w="4748"/>
        <w:gridCol w:w="2154"/>
        <w:gridCol w:w="4304"/>
      </w:tblGrid>
      <w:tr w:rsidR="00861CDA" w:rsidRPr="004D51AF" w:rsidTr="00962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5" w:type="dxa"/>
          </w:tcPr>
          <w:p w:rsidR="00C3490F" w:rsidRPr="00962A40" w:rsidRDefault="00C3490F" w:rsidP="004D51AF">
            <w:pPr>
              <w:spacing w:line="360" w:lineRule="auto"/>
              <w:jc w:val="center"/>
              <w:rPr>
                <w:rFonts w:ascii="Aharoni" w:hAnsi="Aharoni" w:cs="Aharoni" w:hint="cs"/>
                <w:color w:val="FFC000"/>
                <w:sz w:val="24"/>
                <w:szCs w:val="24"/>
              </w:rPr>
            </w:pPr>
            <w:r w:rsidRPr="00962A40">
              <w:rPr>
                <w:rFonts w:ascii="Aharoni" w:hAnsi="Aharoni" w:cs="Aharoni" w:hint="cs"/>
                <w:color w:val="FFC000"/>
                <w:sz w:val="24"/>
                <w:szCs w:val="24"/>
              </w:rPr>
              <w:t>Drugs</w:t>
            </w:r>
          </w:p>
        </w:tc>
        <w:tc>
          <w:tcPr>
            <w:tcW w:w="5331" w:type="dxa"/>
          </w:tcPr>
          <w:p w:rsidR="00C3490F" w:rsidRPr="00962A40" w:rsidRDefault="00C3490F" w:rsidP="004D51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 w:hint="cs"/>
                <w:color w:val="00B0F0"/>
                <w:sz w:val="24"/>
                <w:szCs w:val="24"/>
              </w:rPr>
            </w:pPr>
            <w:r w:rsidRPr="00962A40">
              <w:rPr>
                <w:rFonts w:ascii="Aharoni" w:hAnsi="Aharoni" w:cs="Aharoni" w:hint="cs"/>
                <w:color w:val="FFC000"/>
                <w:sz w:val="24"/>
                <w:szCs w:val="24"/>
              </w:rPr>
              <w:t>Indications</w:t>
            </w:r>
          </w:p>
        </w:tc>
        <w:tc>
          <w:tcPr>
            <w:tcW w:w="4751" w:type="dxa"/>
          </w:tcPr>
          <w:p w:rsidR="00C3490F" w:rsidRPr="00962A40" w:rsidRDefault="00C3490F" w:rsidP="004D51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 w:hint="cs"/>
                <w:color w:val="00B0F0"/>
                <w:sz w:val="24"/>
                <w:szCs w:val="24"/>
              </w:rPr>
            </w:pPr>
            <w:r w:rsidRPr="00962A40">
              <w:rPr>
                <w:rFonts w:ascii="Aharoni" w:hAnsi="Aharoni" w:cs="Aharoni" w:hint="cs"/>
                <w:color w:val="FFC000"/>
                <w:sz w:val="24"/>
                <w:szCs w:val="24"/>
              </w:rPr>
              <w:t>Calculations</w:t>
            </w:r>
          </w:p>
        </w:tc>
        <w:tc>
          <w:tcPr>
            <w:tcW w:w="2158" w:type="dxa"/>
          </w:tcPr>
          <w:p w:rsidR="00C3490F" w:rsidRPr="00962A40" w:rsidRDefault="00C3490F" w:rsidP="004D51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 w:hint="cs"/>
                <w:color w:val="00B0F0"/>
                <w:sz w:val="24"/>
                <w:szCs w:val="24"/>
              </w:rPr>
            </w:pPr>
            <w:r w:rsidRPr="00962A40">
              <w:rPr>
                <w:rFonts w:ascii="Aharoni" w:hAnsi="Aharoni" w:cs="Aharoni" w:hint="cs"/>
                <w:color w:val="FFC000"/>
                <w:sz w:val="24"/>
                <w:szCs w:val="24"/>
              </w:rPr>
              <w:t>Withdrawal Times</w:t>
            </w:r>
          </w:p>
        </w:tc>
        <w:tc>
          <w:tcPr>
            <w:tcW w:w="4317" w:type="dxa"/>
          </w:tcPr>
          <w:p w:rsidR="00C3490F" w:rsidRPr="00962A40" w:rsidRDefault="00C3490F" w:rsidP="004D51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 w:hint="cs"/>
                <w:color w:val="00B0F0"/>
                <w:sz w:val="24"/>
                <w:szCs w:val="24"/>
              </w:rPr>
            </w:pPr>
            <w:r w:rsidRPr="00962A40">
              <w:rPr>
                <w:rFonts w:ascii="Aharoni" w:hAnsi="Aharoni" w:cs="Aharoni" w:hint="cs"/>
                <w:color w:val="FFC000"/>
                <w:sz w:val="24"/>
                <w:szCs w:val="24"/>
              </w:rPr>
              <w:t>Contraindications</w:t>
            </w:r>
          </w:p>
        </w:tc>
      </w:tr>
      <w:tr w:rsidR="00861CDA" w:rsidRPr="004D51AF" w:rsidTr="0096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C3490F" w:rsidRDefault="00544D09" w:rsidP="004D51AF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2% Xylazine</w:t>
            </w:r>
          </w:p>
          <w:p w:rsidR="00861CDA" w:rsidRPr="004D51AF" w:rsidRDefault="00861CDA" w:rsidP="004D51A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54D34A" wp14:editId="2A6A5BC7">
                  <wp:extent cx="1000125" cy="17799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100" cy="179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C3490F" w:rsidRPr="004D51AF" w:rsidRDefault="003E4FEE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Dose-dependent sedation and analgesia. Premedication for surgery.</w:t>
            </w:r>
          </w:p>
        </w:tc>
        <w:tc>
          <w:tcPr>
            <w:tcW w:w="4751" w:type="dxa"/>
          </w:tcPr>
          <w:p w:rsidR="00544D09" w:rsidRPr="004D51AF" w:rsidRDefault="00544D09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550Kg ×0.05 mg/Kg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20 mg/mL</m:t>
                    </m:r>
                  </m:den>
                </m:f>
              </m:oMath>
            </m:oMathPara>
          </w:p>
          <w:p w:rsidR="00C3490F" w:rsidRPr="004D51AF" w:rsidRDefault="00544D09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r>
                  <w:rPr>
                    <w:rFonts w:ascii="Cambria Math" w:hAnsi="Cambria Math" w:cs="Times New Roman"/>
                    <w:color w:val="FFC000"/>
                    <w:szCs w:val="24"/>
                  </w:rPr>
                  <m:t>1.38 mLs</m:t>
                </m:r>
              </m:oMath>
            </m:oMathPara>
          </w:p>
        </w:tc>
        <w:tc>
          <w:tcPr>
            <w:tcW w:w="2158" w:type="dxa"/>
          </w:tcPr>
          <w:p w:rsidR="00C3490F" w:rsidRPr="004D51AF" w:rsidRDefault="00B61830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 xml:space="preserve">Milk – </w:t>
            </w:r>
            <w:r w:rsidR="007C1F29" w:rsidRPr="004D51AF">
              <w:rPr>
                <w:rFonts w:ascii="Times New Roman" w:hAnsi="Times New Roman" w:cs="Times New Roman"/>
                <w:szCs w:val="24"/>
              </w:rPr>
              <w:t xml:space="preserve">0 </w:t>
            </w:r>
            <w:r w:rsidRPr="004D51AF">
              <w:rPr>
                <w:rFonts w:ascii="Times New Roman" w:hAnsi="Times New Roman" w:cs="Times New Roman"/>
                <w:szCs w:val="24"/>
              </w:rPr>
              <w:t>hours</w:t>
            </w:r>
          </w:p>
          <w:p w:rsidR="00B61830" w:rsidRPr="004D51AF" w:rsidRDefault="00B61830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 xml:space="preserve">Meat – </w:t>
            </w:r>
            <w:r w:rsidR="007C1F29" w:rsidRPr="004D51AF">
              <w:rPr>
                <w:rFonts w:ascii="Times New Roman" w:hAnsi="Times New Roman" w:cs="Times New Roman"/>
                <w:szCs w:val="24"/>
              </w:rPr>
              <w:t>0</w:t>
            </w:r>
            <w:r w:rsidRPr="004D51AF">
              <w:rPr>
                <w:rFonts w:ascii="Times New Roman" w:hAnsi="Times New Roman" w:cs="Times New Roman"/>
                <w:szCs w:val="24"/>
              </w:rPr>
              <w:t xml:space="preserve"> days</w:t>
            </w:r>
          </w:p>
        </w:tc>
        <w:tc>
          <w:tcPr>
            <w:tcW w:w="4317" w:type="dxa"/>
          </w:tcPr>
          <w:p w:rsidR="00C3490F" w:rsidRPr="004D51AF" w:rsidRDefault="00337999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224155</wp:posOffset>
                  </wp:positionV>
                  <wp:extent cx="613410" cy="508000"/>
                  <wp:effectExtent l="0" t="0" r="0" b="6350"/>
                  <wp:wrapNone/>
                  <wp:docPr id="1" name="Picture 1" descr="C:\Users\jaime\AppData\Local\Microsoft\Windows\INetCache\Content.Word\DSC_1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ime\AppData\Local\Microsoft\Windows\INetCache\Content.Word\DSC_16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58" t="25150" r="30392" b="36504"/>
                          <a:stretch/>
                        </pic:blipFill>
                        <pic:spPr bwMode="auto">
                          <a:xfrm>
                            <a:off x="0" y="0"/>
                            <a:ext cx="61341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866" w:rsidRPr="004D51AF">
              <w:rPr>
                <w:rFonts w:ascii="Times New Roman" w:hAnsi="Times New Roman" w:cs="Times New Roman"/>
                <w:szCs w:val="24"/>
              </w:rPr>
              <w:t>Hypersensitivity</w:t>
            </w:r>
          </w:p>
        </w:tc>
      </w:tr>
      <w:tr w:rsidR="00861CDA" w:rsidRPr="004D51AF" w:rsidTr="00962A4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C1F29" w:rsidRDefault="007C1F29" w:rsidP="004D51AF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10% Ketamine</w:t>
            </w:r>
          </w:p>
          <w:p w:rsidR="00861CDA" w:rsidRPr="00861CDA" w:rsidRDefault="00861CDA" w:rsidP="00861C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FD8744" wp14:editId="601F75BF">
                  <wp:extent cx="1238250" cy="1238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7C1F29" w:rsidRPr="004D51AF" w:rsidRDefault="003E4FEE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For induction of anaesthesia in combination with α2-agonists, benzodiazepines or neuroleptics.</w:t>
            </w:r>
          </w:p>
        </w:tc>
        <w:tc>
          <w:tcPr>
            <w:tcW w:w="4751" w:type="dxa"/>
          </w:tcPr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550 Kg ×0.5 mg/Kg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100 mg/mL</m:t>
                    </m:r>
                  </m:den>
                </m:f>
              </m:oMath>
            </m:oMathPara>
          </w:p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r>
                  <w:rPr>
                    <w:rFonts w:ascii="Cambria Math" w:hAnsi="Cambria Math" w:cs="Times New Roman"/>
                    <w:color w:val="FFC000"/>
                    <w:szCs w:val="24"/>
                  </w:rPr>
                  <m:t>2.75 mLs</m:t>
                </m:r>
              </m:oMath>
            </m:oMathPara>
          </w:p>
        </w:tc>
        <w:tc>
          <w:tcPr>
            <w:tcW w:w="2158" w:type="dxa"/>
          </w:tcPr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Milk – 0 hours</w:t>
            </w:r>
          </w:p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Meat – 0 days</w:t>
            </w:r>
          </w:p>
        </w:tc>
        <w:tc>
          <w:tcPr>
            <w:tcW w:w="4317" w:type="dxa"/>
          </w:tcPr>
          <w:p w:rsidR="007C1F29" w:rsidRPr="004D51AF" w:rsidRDefault="0033799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 xml:space="preserve">Patients </w:t>
            </w:r>
            <w:r w:rsidR="00613866" w:rsidRPr="004D51AF">
              <w:rPr>
                <w:rFonts w:ascii="Times New Roman" w:hAnsi="Times New Roman" w:cs="Times New Roman"/>
                <w:szCs w:val="24"/>
              </w:rPr>
              <w:t>suffering from renal or hepatic insufficiency.</w:t>
            </w:r>
          </w:p>
        </w:tc>
      </w:tr>
      <w:tr w:rsidR="00861CDA" w:rsidRPr="004D51AF" w:rsidTr="0096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C1F29" w:rsidRDefault="007C1F29" w:rsidP="004D51AF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Cs w:val="24"/>
              </w:rPr>
            </w:pPr>
            <w:proofErr w:type="spellStart"/>
            <w:r w:rsidRPr="004D51AF">
              <w:rPr>
                <w:rFonts w:ascii="Times New Roman" w:hAnsi="Times New Roman" w:cs="Times New Roman"/>
                <w:szCs w:val="24"/>
              </w:rPr>
              <w:t>Combikel</w:t>
            </w:r>
            <w:proofErr w:type="spellEnd"/>
          </w:p>
          <w:p w:rsidR="00861CDA" w:rsidRPr="00861CDA" w:rsidRDefault="00861CDA" w:rsidP="00861C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3DCCEF" wp14:editId="51D71887">
                  <wp:extent cx="933450" cy="1330663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76" cy="133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7C1F29" w:rsidRPr="004D51AF" w:rsidRDefault="00A42466" w:rsidP="004D5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Prevention and treatment of infections caused by penicillin G and/or DHS susceptible microorganisms</w:t>
            </w:r>
            <w:r w:rsidR="009E4124" w:rsidRPr="004D51AF">
              <w:rPr>
                <w:rFonts w:ascii="Times New Roman" w:hAnsi="Times New Roman" w:cs="Times New Roman"/>
                <w:szCs w:val="24"/>
              </w:rPr>
              <w:t>.</w:t>
            </w:r>
            <w:r w:rsidRPr="004D51AF">
              <w:rPr>
                <w:rFonts w:ascii="Times New Roman" w:hAnsi="Times New Roman" w:cs="Times New Roman"/>
                <w:szCs w:val="24"/>
              </w:rPr>
              <w:t xml:space="preserve"> The drug also can be used in postoperative prevention of infections.</w:t>
            </w:r>
          </w:p>
        </w:tc>
        <w:tc>
          <w:tcPr>
            <w:tcW w:w="4751" w:type="dxa"/>
          </w:tcPr>
          <w:p w:rsidR="007C1F29" w:rsidRPr="004D51AF" w:rsidRDefault="007C1F29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550 Kg ×20,000 IU/Kg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200,000 IU/mL</m:t>
                    </m:r>
                  </m:den>
                </m:f>
              </m:oMath>
            </m:oMathPara>
          </w:p>
          <w:p w:rsidR="007C1F29" w:rsidRPr="004D51AF" w:rsidRDefault="007C1F29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r>
                  <w:rPr>
                    <w:rFonts w:ascii="Cambria Math" w:hAnsi="Cambria Math" w:cs="Times New Roman"/>
                    <w:color w:val="FFC000"/>
                    <w:szCs w:val="24"/>
                  </w:rPr>
                  <m:t>55 mLs</m:t>
                </m:r>
              </m:oMath>
            </m:oMathPara>
          </w:p>
        </w:tc>
        <w:tc>
          <w:tcPr>
            <w:tcW w:w="2158" w:type="dxa"/>
          </w:tcPr>
          <w:p w:rsidR="007C1F29" w:rsidRPr="004D51AF" w:rsidRDefault="000B2789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Milk – 4 days</w:t>
            </w:r>
          </w:p>
          <w:p w:rsidR="000B2789" w:rsidRPr="004D51AF" w:rsidRDefault="000B2789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Meat – 30days</w:t>
            </w:r>
          </w:p>
        </w:tc>
        <w:tc>
          <w:tcPr>
            <w:tcW w:w="4317" w:type="dxa"/>
          </w:tcPr>
          <w:p w:rsidR="000B2789" w:rsidRPr="004D51AF" w:rsidRDefault="00A42466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Hypersensitivity and renal insufficiency in patients</w:t>
            </w:r>
            <w:r w:rsidR="000B2789" w:rsidRPr="004D51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1F29" w:rsidRPr="004D51AF" w:rsidRDefault="000B2789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Do not use intravenously</w:t>
            </w:r>
          </w:p>
        </w:tc>
      </w:tr>
      <w:tr w:rsidR="00861CDA" w:rsidRPr="004D51AF" w:rsidTr="00962A4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C1F29" w:rsidRDefault="007C1F29" w:rsidP="004D51AF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5% Flunixin</w:t>
            </w:r>
          </w:p>
          <w:p w:rsidR="00861CDA" w:rsidRPr="00861CDA" w:rsidRDefault="00861CDA" w:rsidP="00861C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0F4002" wp14:editId="64041D09">
                  <wp:extent cx="1019175" cy="96181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450" cy="963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7C1F29" w:rsidRPr="004D51AF" w:rsidRDefault="00A42466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Control of pyrexia associated with bovine respiratory disease and endotoxemia. Flunixin Meglumine Injection is also indicated for the control of</w:t>
            </w:r>
            <w:r w:rsidR="00BD117F" w:rsidRPr="004D51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51AF">
              <w:rPr>
                <w:rFonts w:ascii="Times New Roman" w:hAnsi="Times New Roman" w:cs="Times New Roman"/>
                <w:szCs w:val="24"/>
              </w:rPr>
              <w:t>inflammation in endotoxemia.</w:t>
            </w:r>
          </w:p>
        </w:tc>
        <w:tc>
          <w:tcPr>
            <w:tcW w:w="4751" w:type="dxa"/>
          </w:tcPr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550 Kg ×1.1 mg/Kg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50 mg/mL</m:t>
                    </m:r>
                  </m:den>
                </m:f>
              </m:oMath>
            </m:oMathPara>
          </w:p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r>
                  <w:rPr>
                    <w:rFonts w:ascii="Cambria Math" w:hAnsi="Cambria Math" w:cs="Times New Roman"/>
                    <w:color w:val="FFC000"/>
                    <w:szCs w:val="24"/>
                  </w:rPr>
                  <m:t>12.1 mLs</m:t>
                </m:r>
              </m:oMath>
            </m:oMathPara>
          </w:p>
        </w:tc>
        <w:tc>
          <w:tcPr>
            <w:tcW w:w="2158" w:type="dxa"/>
          </w:tcPr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Milk – 72 hours</w:t>
            </w:r>
          </w:p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Meat – 4 days</w:t>
            </w:r>
          </w:p>
        </w:tc>
        <w:tc>
          <w:tcPr>
            <w:tcW w:w="4317" w:type="dxa"/>
          </w:tcPr>
          <w:p w:rsidR="007C1F29" w:rsidRPr="004D51AF" w:rsidRDefault="0033799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Hypersensitivity. Patients suffering from renal or hepatic insufficiency, cardiovascular impairment, gastro-intestinal ulceration and/or platelet disorders. It is also contraindicated in dehydrated animals.</w:t>
            </w:r>
          </w:p>
        </w:tc>
      </w:tr>
      <w:tr w:rsidR="00861CDA" w:rsidRPr="004D51AF" w:rsidTr="0096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C1F29" w:rsidRDefault="007C1F29" w:rsidP="004D51AF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lastRenderedPageBreak/>
              <w:t>2% Lidocaine</w:t>
            </w:r>
          </w:p>
          <w:p w:rsidR="00861CDA" w:rsidRPr="004D51AF" w:rsidRDefault="00861CDA" w:rsidP="004D51A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7C1CBE" wp14:editId="5401BFF7">
                  <wp:extent cx="1257300" cy="1257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  <w:vMerge w:val="restart"/>
          </w:tcPr>
          <w:p w:rsidR="007C1F29" w:rsidRPr="004D51AF" w:rsidRDefault="00B7387A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For local anaesthesia</w:t>
            </w:r>
          </w:p>
        </w:tc>
        <w:tc>
          <w:tcPr>
            <w:tcW w:w="4751" w:type="dxa"/>
          </w:tcPr>
          <w:p w:rsidR="007C1F29" w:rsidRPr="004D51AF" w:rsidRDefault="00A53EE0" w:rsidP="00A53EE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2A40">
              <w:rPr>
                <w:rFonts w:ascii="Times New Roman" w:hAnsi="Times New Roman" w:cs="Times New Roman"/>
                <w:color w:val="FFC000"/>
                <w:szCs w:val="24"/>
              </w:rPr>
              <w:t>5 cc 10</w:t>
            </w:r>
            <w:r w:rsidR="007C1F29" w:rsidRPr="00962A40">
              <w:rPr>
                <w:rFonts w:ascii="Times New Roman" w:hAnsi="Times New Roman" w:cs="Times New Roman"/>
                <w:color w:val="FFC000"/>
                <w:szCs w:val="24"/>
              </w:rPr>
              <w:t xml:space="preserve"> cc </w:t>
            </w:r>
            <w:r w:rsidR="007C1F29" w:rsidRPr="004D51AF">
              <w:rPr>
                <w:rFonts w:ascii="Times New Roman" w:hAnsi="Times New Roman" w:cs="Times New Roman"/>
                <w:szCs w:val="24"/>
              </w:rPr>
              <w:t xml:space="preserve">per </w:t>
            </w:r>
            <w:r>
              <w:rPr>
                <w:rFonts w:ascii="Times New Roman" w:hAnsi="Times New Roman" w:cs="Times New Roman"/>
                <w:szCs w:val="24"/>
              </w:rPr>
              <w:t>site</w:t>
            </w:r>
            <w:r w:rsidR="007C1F29" w:rsidRPr="004D51A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158" w:type="dxa"/>
            <w:vMerge w:val="restart"/>
          </w:tcPr>
          <w:p w:rsidR="007C1F29" w:rsidRPr="004D51AF" w:rsidRDefault="004A79DB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Milk – 24 hours</w:t>
            </w:r>
          </w:p>
          <w:p w:rsidR="004A79DB" w:rsidRPr="004D51AF" w:rsidRDefault="004A79DB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Meat – 24 hours</w:t>
            </w:r>
          </w:p>
        </w:tc>
        <w:tc>
          <w:tcPr>
            <w:tcW w:w="4317" w:type="dxa"/>
            <w:vMerge w:val="restart"/>
          </w:tcPr>
          <w:p w:rsidR="007C1F29" w:rsidRPr="004D51AF" w:rsidRDefault="00BD117F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Patients with a known history of hypersensitivity to local anesthetics of the amide type</w:t>
            </w:r>
          </w:p>
        </w:tc>
      </w:tr>
      <w:tr w:rsidR="00861CDA" w:rsidRPr="004D51AF" w:rsidTr="00962A4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C1F29" w:rsidRPr="004D51AF" w:rsidRDefault="007C1F29" w:rsidP="004D51A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2% Lidocaine Toxic Dose</w:t>
            </w:r>
          </w:p>
        </w:tc>
        <w:tc>
          <w:tcPr>
            <w:tcW w:w="5331" w:type="dxa"/>
            <w:vMerge/>
          </w:tcPr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1" w:type="dxa"/>
          </w:tcPr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4D51AF">
              <w:rPr>
                <w:rFonts w:ascii="Times New Roman" w:eastAsiaTheme="minorEastAsia" w:hAnsi="Times New Roman" w:cs="Times New Roman"/>
                <w:b/>
                <w:szCs w:val="24"/>
              </w:rPr>
              <w:t>NB: ½ Toxic Dose was used</w:t>
            </w:r>
          </w:p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550 Kg ×5 mg/Kg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20 mg/mL</m:t>
                    </m:r>
                  </m:den>
                </m:f>
              </m:oMath>
            </m:oMathPara>
          </w:p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Cs w:val="24"/>
              </w:rPr>
            </w:pPr>
            <m:oMath>
              <m:r>
                <w:rPr>
                  <w:rFonts w:ascii="Cambria Math" w:hAnsi="Cambria Math" w:cs="Times New Roman"/>
                  <w:szCs w:val="24"/>
                </w:rPr>
                <m:t>Volume=</m:t>
              </m:r>
              <m:r>
                <w:rPr>
                  <w:rFonts w:ascii="Cambria Math" w:hAnsi="Cambria Math" w:cs="Times New Roman"/>
                  <w:color w:val="FFC000"/>
                  <w:szCs w:val="24"/>
                </w:rPr>
                <m:t>137.5mL</m:t>
              </m:r>
            </m:oMath>
            <w:r w:rsidR="007B1DEE" w:rsidRPr="00962A40">
              <w:rPr>
                <w:rFonts w:ascii="Times New Roman" w:eastAsiaTheme="minorEastAsia" w:hAnsi="Times New Roman" w:cs="Times New Roman"/>
                <w:color w:val="FFC000"/>
                <w:szCs w:val="24"/>
              </w:rPr>
              <w:t>s</w:t>
            </w:r>
          </w:p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∴Do</m:t>
                </m:r>
                <m:r>
                  <w:rPr>
                    <w:rFonts w:ascii="Cambria Math" w:hAnsi="Cambria Math" w:cs="Times New Roman"/>
                    <w:color w:val="FFC000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C000"/>
                    <w:szCs w:val="24"/>
                  </w:rPr>
                  <m:t>NOT</m:t>
                </m:r>
                <m:r>
                  <w:rPr>
                    <w:rFonts w:ascii="Cambria Math" w:hAnsi="Cambria Math" w:cs="Times New Roman"/>
                    <w:color w:val="FFC000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Cs w:val="24"/>
                  </w:rPr>
                  <m:t>exceed 137.5 mLs of Lidocaine</m:t>
                </m:r>
              </m:oMath>
            </m:oMathPara>
          </w:p>
        </w:tc>
        <w:tc>
          <w:tcPr>
            <w:tcW w:w="2158" w:type="dxa"/>
            <w:vMerge/>
          </w:tcPr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7" w:type="dxa"/>
            <w:vMerge/>
          </w:tcPr>
          <w:p w:rsidR="007C1F29" w:rsidRPr="004D51AF" w:rsidRDefault="007C1F2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CDA" w:rsidRPr="004D51AF" w:rsidTr="0096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67147" w:rsidRPr="004D51AF" w:rsidRDefault="00467147" w:rsidP="0046714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10% Ivermectin</w:t>
            </w:r>
          </w:p>
        </w:tc>
        <w:tc>
          <w:tcPr>
            <w:tcW w:w="5331" w:type="dxa"/>
          </w:tcPr>
          <w:p w:rsidR="00467147" w:rsidRPr="004D51AF" w:rsidRDefault="00467147" w:rsidP="004671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 w:rsidRPr="003B6D4E">
              <w:rPr>
                <w:rFonts w:ascii="Times New Roman" w:hAnsi="Times New Roman" w:cs="Times New Roman"/>
                <w:szCs w:val="24"/>
              </w:rPr>
              <w:t>ffective treatment and control of the following harmful species of gastrointestinal roundworms, lungworms, lice, mange mites</w:t>
            </w:r>
            <w:r>
              <w:rPr>
                <w:rFonts w:ascii="Times New Roman" w:hAnsi="Times New Roman" w:cs="Times New Roman"/>
                <w:szCs w:val="24"/>
              </w:rPr>
              <w:t xml:space="preserve"> and prevention of myasis</w:t>
            </w:r>
          </w:p>
        </w:tc>
        <w:tc>
          <w:tcPr>
            <w:tcW w:w="4751" w:type="dxa"/>
          </w:tcPr>
          <w:p w:rsidR="00467147" w:rsidRPr="004D51AF" w:rsidRDefault="00467147" w:rsidP="004671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550 Kg ×0.2 mg/Kg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100 mg/mL</m:t>
                    </m:r>
                  </m:den>
                </m:f>
              </m:oMath>
            </m:oMathPara>
          </w:p>
          <w:p w:rsidR="00467147" w:rsidRPr="003B6D4E" w:rsidRDefault="00467147" w:rsidP="004671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r>
                  <w:rPr>
                    <w:rFonts w:ascii="Cambria Math" w:hAnsi="Cambria Math" w:cs="Times New Roman"/>
                    <w:color w:val="FFC000"/>
                    <w:szCs w:val="24"/>
                  </w:rPr>
                  <m:t>11 mLs</m:t>
                </m:r>
              </m:oMath>
            </m:oMathPara>
          </w:p>
        </w:tc>
        <w:tc>
          <w:tcPr>
            <w:tcW w:w="2158" w:type="dxa"/>
          </w:tcPr>
          <w:p w:rsidR="00467147" w:rsidRPr="004D51AF" w:rsidRDefault="00467147" w:rsidP="004671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 xml:space="preserve">Milk – </w:t>
            </w:r>
            <w:r>
              <w:rPr>
                <w:rFonts w:ascii="Times New Roman" w:hAnsi="Times New Roman" w:cs="Times New Roman"/>
                <w:szCs w:val="24"/>
              </w:rPr>
              <w:t>n/a</w:t>
            </w:r>
          </w:p>
          <w:p w:rsidR="00467147" w:rsidRPr="004D51AF" w:rsidRDefault="00467147" w:rsidP="004671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 xml:space="preserve">Meat – </w:t>
            </w:r>
            <w:r>
              <w:rPr>
                <w:rFonts w:ascii="Times New Roman" w:hAnsi="Times New Roman" w:cs="Times New Roman"/>
                <w:szCs w:val="24"/>
              </w:rPr>
              <w:t>35 days</w:t>
            </w:r>
          </w:p>
        </w:tc>
        <w:tc>
          <w:tcPr>
            <w:tcW w:w="4317" w:type="dxa"/>
          </w:tcPr>
          <w:p w:rsidR="00467147" w:rsidRPr="004D51AF" w:rsidRDefault="00467147" w:rsidP="004671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67147">
              <w:rPr>
                <w:rFonts w:ascii="Times New Roman" w:hAnsi="Times New Roman" w:cs="Times New Roman"/>
                <w:szCs w:val="24"/>
              </w:rPr>
              <w:t>This product is not for intravenous or intramuscular use.</w:t>
            </w:r>
          </w:p>
        </w:tc>
      </w:tr>
    </w:tbl>
    <w:p w:rsidR="00B41652" w:rsidRPr="00B41652" w:rsidRDefault="00B41652" w:rsidP="004D5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3-Accent4"/>
        <w:tblW w:w="18712" w:type="dxa"/>
        <w:tblLook w:val="04A0" w:firstRow="1" w:lastRow="0" w:firstColumn="1" w:lastColumn="0" w:noHBand="0" w:noVBand="1"/>
      </w:tblPr>
      <w:tblGrid>
        <w:gridCol w:w="2106"/>
        <w:gridCol w:w="5570"/>
        <w:gridCol w:w="4668"/>
        <w:gridCol w:w="2687"/>
        <w:gridCol w:w="3681"/>
      </w:tblGrid>
      <w:tr w:rsidR="00E6524E" w:rsidRPr="004D51AF" w:rsidTr="00FC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12" w:type="dxa"/>
            <w:gridSpan w:val="5"/>
          </w:tcPr>
          <w:p w:rsidR="00E6524E" w:rsidRPr="004D51AF" w:rsidRDefault="00E6524E" w:rsidP="004D51AF">
            <w:pPr>
              <w:spacing w:line="360" w:lineRule="auto"/>
              <w:jc w:val="center"/>
              <w:rPr>
                <w:rFonts w:ascii="Copperplate Gothic Bold" w:hAnsi="Copperplate Gothic Bold" w:cs="Times New Roman"/>
                <w:color w:val="FF0000"/>
                <w:sz w:val="36"/>
                <w:szCs w:val="36"/>
              </w:rPr>
            </w:pPr>
            <w:r w:rsidRPr="00962A40">
              <w:rPr>
                <w:rFonts w:ascii="Copperplate Gothic Bold" w:hAnsi="Copperplate Gothic Bold" w:cs="Times New Roman"/>
                <w:color w:val="FFC000"/>
                <w:sz w:val="36"/>
                <w:szCs w:val="36"/>
              </w:rPr>
              <w:t>Emergency Drugs</w:t>
            </w:r>
          </w:p>
        </w:tc>
      </w:tr>
      <w:tr w:rsidR="00EB0D88" w:rsidRPr="004D51AF" w:rsidTr="00FC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6524E" w:rsidRPr="00962A40" w:rsidRDefault="00E6524E" w:rsidP="004D51AF">
            <w:pPr>
              <w:spacing w:line="360" w:lineRule="auto"/>
              <w:jc w:val="center"/>
              <w:rPr>
                <w:rFonts w:ascii="Aharoni" w:hAnsi="Aharoni" w:cs="Aharoni" w:hint="cs"/>
                <w:color w:val="00B0F0"/>
                <w:sz w:val="24"/>
                <w:szCs w:val="24"/>
              </w:rPr>
            </w:pPr>
            <w:r w:rsidRPr="00962A40">
              <w:rPr>
                <w:rFonts w:ascii="Aharoni" w:hAnsi="Aharoni" w:cs="Aharoni" w:hint="cs"/>
                <w:color w:val="FFC000"/>
                <w:sz w:val="24"/>
                <w:szCs w:val="24"/>
              </w:rPr>
              <w:t>Drugs</w:t>
            </w:r>
          </w:p>
        </w:tc>
        <w:tc>
          <w:tcPr>
            <w:tcW w:w="5691" w:type="dxa"/>
          </w:tcPr>
          <w:p w:rsidR="00E6524E" w:rsidRPr="00962A40" w:rsidRDefault="00E6524E" w:rsidP="004D51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 w:hint="cs"/>
                <w:color w:val="00B0F0"/>
                <w:sz w:val="24"/>
                <w:szCs w:val="24"/>
              </w:rPr>
            </w:pPr>
            <w:r w:rsidRPr="00962A40">
              <w:rPr>
                <w:rFonts w:ascii="Aharoni" w:hAnsi="Aharoni" w:cs="Aharoni" w:hint="cs"/>
                <w:color w:val="FFC000"/>
                <w:sz w:val="24"/>
                <w:szCs w:val="24"/>
              </w:rPr>
              <w:t>Indications</w:t>
            </w:r>
          </w:p>
        </w:tc>
        <w:tc>
          <w:tcPr>
            <w:tcW w:w="4751" w:type="dxa"/>
          </w:tcPr>
          <w:p w:rsidR="00E6524E" w:rsidRPr="00962A40" w:rsidRDefault="00E6524E" w:rsidP="004D51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 w:hint="cs"/>
                <w:color w:val="00B0F0"/>
                <w:sz w:val="24"/>
                <w:szCs w:val="24"/>
              </w:rPr>
            </w:pPr>
            <w:r w:rsidRPr="00962A40">
              <w:rPr>
                <w:rFonts w:ascii="Aharoni" w:hAnsi="Aharoni" w:cs="Aharoni" w:hint="cs"/>
                <w:color w:val="FFC000"/>
                <w:sz w:val="24"/>
                <w:szCs w:val="24"/>
              </w:rPr>
              <w:t>Calculations</w:t>
            </w:r>
          </w:p>
        </w:tc>
        <w:tc>
          <w:tcPr>
            <w:tcW w:w="2733" w:type="dxa"/>
          </w:tcPr>
          <w:p w:rsidR="00E6524E" w:rsidRPr="00962A40" w:rsidRDefault="00E6524E" w:rsidP="004D51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 w:hint="cs"/>
                <w:color w:val="00B0F0"/>
                <w:sz w:val="24"/>
                <w:szCs w:val="24"/>
              </w:rPr>
            </w:pPr>
            <w:r w:rsidRPr="00962A40">
              <w:rPr>
                <w:rFonts w:ascii="Aharoni" w:hAnsi="Aharoni" w:cs="Aharoni" w:hint="cs"/>
                <w:color w:val="FFC000"/>
                <w:sz w:val="24"/>
                <w:szCs w:val="24"/>
              </w:rPr>
              <w:t>Withdrawal Times</w:t>
            </w:r>
          </w:p>
        </w:tc>
        <w:tc>
          <w:tcPr>
            <w:tcW w:w="3742" w:type="dxa"/>
          </w:tcPr>
          <w:p w:rsidR="00E6524E" w:rsidRPr="00962A40" w:rsidRDefault="00E6524E" w:rsidP="004D51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 w:hint="cs"/>
                <w:color w:val="00B0F0"/>
                <w:sz w:val="24"/>
                <w:szCs w:val="24"/>
              </w:rPr>
            </w:pPr>
            <w:r w:rsidRPr="00962A40">
              <w:rPr>
                <w:rFonts w:ascii="Aharoni" w:hAnsi="Aharoni" w:cs="Aharoni" w:hint="cs"/>
                <w:color w:val="FFC000"/>
                <w:sz w:val="24"/>
                <w:szCs w:val="24"/>
              </w:rPr>
              <w:t>Contraindications</w:t>
            </w:r>
          </w:p>
        </w:tc>
      </w:tr>
      <w:tr w:rsidR="00EB0D88" w:rsidRPr="004D51AF" w:rsidTr="00FC0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3490F" w:rsidRDefault="00861CDA" w:rsidP="004D51AF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Tolazoline</w:t>
            </w:r>
          </w:p>
          <w:p w:rsidR="00861CDA" w:rsidRPr="00861CDA" w:rsidRDefault="00861CDA" w:rsidP="00861C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0E78CE" wp14:editId="72E4C1CD">
                  <wp:extent cx="923925" cy="1534565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67" cy="154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</w:tcPr>
          <w:p w:rsidR="00C3490F" w:rsidRPr="004D51AF" w:rsidRDefault="00B7387A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Xylazine reversing agent and antagonist.</w:t>
            </w:r>
          </w:p>
        </w:tc>
        <w:tc>
          <w:tcPr>
            <w:tcW w:w="4751" w:type="dxa"/>
          </w:tcPr>
          <w:p w:rsidR="00E6524E" w:rsidRPr="004D51AF" w:rsidRDefault="00E6524E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550 Kg ×0.1 mg/Kg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100 mg/mL</m:t>
                    </m:r>
                  </m:den>
                </m:f>
              </m:oMath>
            </m:oMathPara>
          </w:p>
          <w:p w:rsidR="00C3490F" w:rsidRPr="004D51AF" w:rsidRDefault="00E6524E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>
              <m:r>
                <w:rPr>
                  <w:rFonts w:ascii="Cambria Math" w:hAnsi="Cambria Math" w:cs="Times New Roman"/>
                  <w:szCs w:val="24"/>
                </w:rPr>
                <m:t>Volume=</m:t>
              </m:r>
              <m:r>
                <w:rPr>
                  <w:rFonts w:ascii="Cambria Math" w:hAnsi="Cambria Math" w:cs="Times New Roman"/>
                  <w:color w:val="FFC000"/>
                  <w:szCs w:val="24"/>
                </w:rPr>
                <m:t>0.55 mL</m:t>
              </m:r>
            </m:oMath>
            <w:r w:rsidR="007B1DEE" w:rsidRPr="00C009C5">
              <w:rPr>
                <w:rFonts w:ascii="Times New Roman" w:eastAsiaTheme="minorEastAsia" w:hAnsi="Times New Roman" w:cs="Times New Roman"/>
                <w:color w:val="FFC000"/>
                <w:szCs w:val="24"/>
              </w:rPr>
              <w:t>s</w:t>
            </w:r>
          </w:p>
        </w:tc>
        <w:tc>
          <w:tcPr>
            <w:tcW w:w="2733" w:type="dxa"/>
          </w:tcPr>
          <w:p w:rsidR="00C3490F" w:rsidRPr="004D51AF" w:rsidRDefault="00B61830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Milk – 48 hours</w:t>
            </w:r>
          </w:p>
          <w:p w:rsidR="00B61830" w:rsidRPr="004D51AF" w:rsidRDefault="00B61830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Meat – 8 days</w:t>
            </w:r>
          </w:p>
        </w:tc>
        <w:tc>
          <w:tcPr>
            <w:tcW w:w="3742" w:type="dxa"/>
          </w:tcPr>
          <w:p w:rsidR="00C3490F" w:rsidRPr="004D51AF" w:rsidRDefault="00CD3C09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Avoid giving overdoses of this drug, especially to animals with cardiac or circulatory compromise</w:t>
            </w:r>
          </w:p>
        </w:tc>
      </w:tr>
      <w:tr w:rsidR="00EB0D88" w:rsidRPr="004D51AF" w:rsidTr="00FC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6524E" w:rsidRDefault="00DA679B" w:rsidP="004D51AF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lastRenderedPageBreak/>
              <w:t>Atropine</w:t>
            </w:r>
          </w:p>
          <w:p w:rsidR="00EB0D88" w:rsidRDefault="00EB0D88" w:rsidP="00EB0D88">
            <w:pPr>
              <w:rPr>
                <w:rFonts w:ascii="Times New Roman" w:hAnsi="Times New Roman" w:cs="Times New Roman"/>
                <w:i w:val="0"/>
                <w:iCs w:val="0"/>
                <w:szCs w:val="24"/>
              </w:rPr>
            </w:pPr>
          </w:p>
          <w:p w:rsidR="00EB0D88" w:rsidRPr="00EB0D88" w:rsidRDefault="00EB0D88" w:rsidP="00EB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90E9DC" wp14:editId="07A05484">
                  <wp:extent cx="1143000" cy="1143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</w:tcPr>
          <w:p w:rsidR="00AB5682" w:rsidRPr="004D51AF" w:rsidRDefault="001B47B7" w:rsidP="004D51AF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 xml:space="preserve">Used </w:t>
            </w:r>
            <w:r w:rsidR="00AB5682" w:rsidRPr="004D51AF">
              <w:rPr>
                <w:rFonts w:ascii="Times New Roman" w:hAnsi="Times New Roman" w:cs="Times New Roman"/>
                <w:szCs w:val="24"/>
              </w:rPr>
              <w:t>to reduce salivary and bronchial secretions prior to anaesthesia before surgery.</w:t>
            </w:r>
          </w:p>
          <w:p w:rsidR="00AB5682" w:rsidRPr="004D51AF" w:rsidRDefault="001B47B7" w:rsidP="004D51AF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 xml:space="preserve">Used </w:t>
            </w:r>
            <w:r w:rsidR="00AB5682" w:rsidRPr="004D51AF">
              <w:rPr>
                <w:rFonts w:ascii="Times New Roman" w:hAnsi="Times New Roman" w:cs="Times New Roman"/>
                <w:szCs w:val="24"/>
              </w:rPr>
              <w:t>in the prevention of abnormal heart rhythms and low blood pressure caused by acetylcholine associated events.</w:t>
            </w:r>
          </w:p>
          <w:p w:rsidR="00AB5682" w:rsidRPr="004D51AF" w:rsidRDefault="00AB5682" w:rsidP="004D51AF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Atropine Injection BP can also be used in the management of acute myocardial infarction.</w:t>
            </w:r>
          </w:p>
          <w:p w:rsidR="00E6524E" w:rsidRPr="004D51AF" w:rsidRDefault="001B47B7" w:rsidP="004D51AF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 xml:space="preserve">Used </w:t>
            </w:r>
            <w:r w:rsidR="00AB5682" w:rsidRPr="004D51AF">
              <w:rPr>
                <w:rFonts w:ascii="Times New Roman" w:hAnsi="Times New Roman" w:cs="Times New Roman"/>
                <w:szCs w:val="24"/>
              </w:rPr>
              <w:t>in the management of cholinergic poisoning by organophosphates or anticholinesterases with muscarinic effects.</w:t>
            </w:r>
          </w:p>
        </w:tc>
        <w:tc>
          <w:tcPr>
            <w:tcW w:w="4751" w:type="dxa"/>
          </w:tcPr>
          <w:p w:rsidR="00DA679B" w:rsidRPr="004D51AF" w:rsidRDefault="00DA679B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550 Kg ×0.04 mg/Kg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0.54 mg/mL</m:t>
                    </m:r>
                  </m:den>
                </m:f>
              </m:oMath>
            </m:oMathPara>
          </w:p>
          <w:p w:rsidR="00DA679B" w:rsidRPr="004D51AF" w:rsidRDefault="00DA679B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>
              <m:r>
                <w:rPr>
                  <w:rFonts w:ascii="Cambria Math" w:hAnsi="Cambria Math" w:cs="Times New Roman"/>
                  <w:szCs w:val="24"/>
                </w:rPr>
                <m:t>Volume=</m:t>
              </m:r>
              <m:r>
                <w:rPr>
                  <w:rFonts w:ascii="Cambria Math" w:hAnsi="Cambria Math" w:cs="Times New Roman"/>
                  <w:color w:val="FFC000"/>
                  <w:szCs w:val="24"/>
                </w:rPr>
                <m:t>40.74 mL</m:t>
              </m:r>
            </m:oMath>
            <w:r w:rsidR="007B1DEE" w:rsidRPr="00C009C5">
              <w:rPr>
                <w:rFonts w:ascii="Times New Roman" w:eastAsiaTheme="minorEastAsia" w:hAnsi="Times New Roman" w:cs="Times New Roman"/>
                <w:color w:val="FFC000"/>
                <w:szCs w:val="24"/>
              </w:rPr>
              <w:t>s</w:t>
            </w:r>
          </w:p>
          <w:p w:rsidR="00E6524E" w:rsidRPr="004D51AF" w:rsidRDefault="00E6524E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3" w:type="dxa"/>
          </w:tcPr>
          <w:p w:rsidR="00E6524E" w:rsidRPr="004D51AF" w:rsidRDefault="00E4525A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Milk – 3 days</w:t>
            </w:r>
          </w:p>
          <w:p w:rsidR="00E4525A" w:rsidRPr="004D51AF" w:rsidRDefault="00E4525A" w:rsidP="004D51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Meat – 14 days</w:t>
            </w:r>
          </w:p>
        </w:tc>
        <w:tc>
          <w:tcPr>
            <w:tcW w:w="3742" w:type="dxa"/>
          </w:tcPr>
          <w:p w:rsidR="00E6524E" w:rsidRPr="004D51AF" w:rsidRDefault="00CD3C09" w:rsidP="004D5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Patients hypersensitivity to anticholinergic drugs, GI obstructive disease,</w:t>
            </w:r>
            <w:r w:rsidR="007D2BE3" w:rsidRPr="004D51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51AF">
              <w:rPr>
                <w:rFonts w:ascii="Times New Roman" w:hAnsi="Times New Roman" w:cs="Times New Roman"/>
                <w:szCs w:val="24"/>
              </w:rPr>
              <w:t xml:space="preserve">paralytic ileus, severe ulcerative colitis, obstructive </w:t>
            </w:r>
            <w:r w:rsidR="007D2BE3" w:rsidRPr="004D51AF">
              <w:rPr>
                <w:rFonts w:ascii="Times New Roman" w:hAnsi="Times New Roman" w:cs="Times New Roman"/>
                <w:szCs w:val="24"/>
              </w:rPr>
              <w:t>uropathy, and myasthenia gravis.</w:t>
            </w:r>
          </w:p>
        </w:tc>
      </w:tr>
      <w:tr w:rsidR="00EB0D88" w:rsidRPr="004D51AF" w:rsidTr="00FC0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B0D88" w:rsidRDefault="007D2BE3" w:rsidP="004D51AF">
            <w:pPr>
              <w:spacing w:line="360" w:lineRule="auto"/>
              <w:rPr>
                <w:rFonts w:ascii="Times New Roman" w:hAnsi="Times New Roman" w:cs="Times New Roman"/>
                <w:i w:val="0"/>
                <w:iCs w:val="0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Epinephrine</w:t>
            </w:r>
          </w:p>
          <w:p w:rsidR="00EB0D88" w:rsidRDefault="00EB0D88" w:rsidP="004D51AF">
            <w:pPr>
              <w:spacing w:line="360" w:lineRule="auto"/>
              <w:rPr>
                <w:i w:val="0"/>
                <w:iCs w:val="0"/>
                <w:noProof/>
              </w:rPr>
            </w:pPr>
          </w:p>
          <w:p w:rsidR="00E6524E" w:rsidRPr="004D51AF" w:rsidRDefault="00EB0D88" w:rsidP="004D51A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3F48F4" wp14:editId="75D59D58">
                  <wp:extent cx="1200150" cy="1857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8185" t="-515" r="23166"/>
                          <a:stretch/>
                        </pic:blipFill>
                        <pic:spPr bwMode="auto">
                          <a:xfrm>
                            <a:off x="0" y="0"/>
                            <a:ext cx="1200150" cy="185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D2BE3" w:rsidRPr="004D51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1" w:type="dxa"/>
          </w:tcPr>
          <w:p w:rsidR="00E6524E" w:rsidRPr="004D51AF" w:rsidRDefault="001B47B7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Emergency treatment of allergic reactions (Type I), including anaphylaxis. Bronchospasm. Urticaria. Angioedema. Serum sickness.</w:t>
            </w:r>
          </w:p>
        </w:tc>
        <w:tc>
          <w:tcPr>
            <w:tcW w:w="4751" w:type="dxa"/>
          </w:tcPr>
          <w:p w:rsidR="00DA679B" w:rsidRPr="004D51AF" w:rsidRDefault="00DA679B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Volume=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550 Kg ×0.02 mg/Kg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1 mg/mL</m:t>
                    </m:r>
                  </m:den>
                </m:f>
              </m:oMath>
            </m:oMathPara>
          </w:p>
          <w:p w:rsidR="00DA679B" w:rsidRPr="004D51AF" w:rsidRDefault="00DA679B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m:oMath>
              <m:r>
                <w:rPr>
                  <w:rFonts w:ascii="Cambria Math" w:hAnsi="Cambria Math" w:cs="Times New Roman"/>
                  <w:szCs w:val="24"/>
                </w:rPr>
                <m:t>Volume=</m:t>
              </m:r>
              <m:r>
                <w:rPr>
                  <w:rFonts w:ascii="Cambria Math" w:hAnsi="Cambria Math" w:cs="Times New Roman"/>
                  <w:color w:val="FFC000"/>
                  <w:szCs w:val="24"/>
                </w:rPr>
                <m:t>11 mL</m:t>
              </m:r>
            </m:oMath>
            <w:r w:rsidR="007B1DEE" w:rsidRPr="00C009C5">
              <w:rPr>
                <w:rFonts w:ascii="Times New Roman" w:eastAsiaTheme="minorEastAsia" w:hAnsi="Times New Roman" w:cs="Times New Roman"/>
                <w:color w:val="FFC000"/>
                <w:szCs w:val="24"/>
              </w:rPr>
              <w:t>s</w:t>
            </w:r>
          </w:p>
          <w:p w:rsidR="00E6524E" w:rsidRPr="004D51AF" w:rsidRDefault="00E6524E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3" w:type="dxa"/>
          </w:tcPr>
          <w:p w:rsidR="002E356A" w:rsidRPr="004D51AF" w:rsidRDefault="002E356A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Milk – 0 hours</w:t>
            </w:r>
          </w:p>
          <w:p w:rsidR="00E6524E" w:rsidRPr="004D51AF" w:rsidRDefault="002E356A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>Meat – 0 days</w:t>
            </w:r>
          </w:p>
        </w:tc>
        <w:tc>
          <w:tcPr>
            <w:tcW w:w="3742" w:type="dxa"/>
          </w:tcPr>
          <w:p w:rsidR="00E6524E" w:rsidRPr="004D51AF" w:rsidRDefault="007D2BE3" w:rsidP="004D51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D51AF">
              <w:rPr>
                <w:rFonts w:ascii="Times New Roman" w:hAnsi="Times New Roman" w:cs="Times New Roman"/>
                <w:szCs w:val="24"/>
              </w:rPr>
              <w:t xml:space="preserve">Allergy or hypersensitivity to adrenaline. Pregnant or patients in labor. Patients with ventricular premature beats or other types of heart irregularities </w:t>
            </w:r>
          </w:p>
        </w:tc>
      </w:tr>
    </w:tbl>
    <w:p w:rsidR="00DA679B" w:rsidRPr="004D51AF" w:rsidRDefault="00DA679B" w:rsidP="004D51AF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</w:p>
    <w:p w:rsidR="00DA679B" w:rsidRPr="00DA679B" w:rsidRDefault="00DA679B" w:rsidP="004D51AF">
      <w:pPr>
        <w:spacing w:line="360" w:lineRule="auto"/>
        <w:rPr>
          <w:rFonts w:ascii="Times New Roman" w:hAnsi="Times New Roman" w:cs="Times New Roman"/>
          <w:szCs w:val="24"/>
        </w:rPr>
      </w:pPr>
      <w:r w:rsidRPr="00DA679B">
        <w:rPr>
          <w:rFonts w:ascii="Times New Roman" w:hAnsi="Times New Roman" w:cs="Times New Roman"/>
          <w:b/>
          <w:szCs w:val="24"/>
          <w:u w:val="single"/>
        </w:rPr>
        <w:t>NB</w:t>
      </w:r>
      <w:r w:rsidRPr="00DA679B">
        <w:rPr>
          <w:rFonts w:ascii="Times New Roman" w:hAnsi="Times New Roman" w:cs="Times New Roman"/>
          <w:szCs w:val="24"/>
        </w:rPr>
        <w:t xml:space="preserve">: </w:t>
      </w:r>
      <w:proofErr w:type="gramStart"/>
      <w:r w:rsidR="00EB0D88">
        <w:rPr>
          <w:rFonts w:ascii="Times New Roman" w:hAnsi="Times New Roman" w:cs="Times New Roman"/>
          <w:b/>
          <w:i/>
          <w:color w:val="FFC000"/>
          <w:szCs w:val="24"/>
        </w:rPr>
        <w:t xml:space="preserve">The </w:t>
      </w:r>
      <w:r w:rsidRPr="00FC0C97">
        <w:rPr>
          <w:rFonts w:ascii="Times New Roman" w:hAnsi="Times New Roman" w:cs="Times New Roman"/>
          <w:b/>
          <w:i/>
          <w:color w:val="FFC000"/>
          <w:szCs w:val="24"/>
        </w:rPr>
        <w:t xml:space="preserve"> emergency</w:t>
      </w:r>
      <w:proofErr w:type="gramEnd"/>
      <w:r w:rsidRPr="00FC0C97">
        <w:rPr>
          <w:rFonts w:ascii="Times New Roman" w:hAnsi="Times New Roman" w:cs="Times New Roman"/>
          <w:b/>
          <w:i/>
          <w:color w:val="FFC000"/>
          <w:szCs w:val="24"/>
        </w:rPr>
        <w:t xml:space="preserve"> drugs listed were not used during this procedure.</w:t>
      </w:r>
      <w:r w:rsidRPr="00FC0C97">
        <w:rPr>
          <w:rFonts w:ascii="Times New Roman" w:hAnsi="Times New Roman" w:cs="Times New Roman"/>
          <w:color w:val="FFC000"/>
          <w:szCs w:val="24"/>
        </w:rPr>
        <w:t xml:space="preserve"> </w:t>
      </w:r>
    </w:p>
    <w:p w:rsidR="00AA60B8" w:rsidRDefault="00AA60B8" w:rsidP="004D51AF">
      <w:pPr>
        <w:spacing w:line="36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A60B8" w:rsidRDefault="00AA60B8" w:rsidP="004D51AF">
      <w:pPr>
        <w:spacing w:line="360" w:lineRule="auto"/>
        <w:rPr>
          <w:rFonts w:ascii="Times New Roman" w:hAnsi="Times New Roman" w:cs="Times New Roman"/>
          <w:szCs w:val="24"/>
        </w:rPr>
      </w:pPr>
    </w:p>
    <w:p w:rsidR="00AA60B8" w:rsidRPr="004D51AF" w:rsidRDefault="00AA60B8" w:rsidP="004D51AF">
      <w:pPr>
        <w:spacing w:line="360" w:lineRule="auto"/>
        <w:rPr>
          <w:rFonts w:ascii="Times New Roman" w:hAnsi="Times New Roman" w:cs="Times New Roman"/>
          <w:szCs w:val="24"/>
        </w:rPr>
      </w:pPr>
    </w:p>
    <w:p w:rsidR="00F2159E" w:rsidRPr="004D51AF" w:rsidRDefault="00F2159E" w:rsidP="004D51AF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F2159E" w:rsidRPr="004D51AF" w:rsidSect="00B41652">
      <w:pgSz w:w="20160" w:h="12240" w:orient="landscape" w:code="5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1FD"/>
    <w:multiLevelType w:val="hybridMultilevel"/>
    <w:tmpl w:val="9EC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C2D"/>
    <w:multiLevelType w:val="hybridMultilevel"/>
    <w:tmpl w:val="575E4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0F"/>
    <w:rsid w:val="000B2789"/>
    <w:rsid w:val="000D64DF"/>
    <w:rsid w:val="001B47B7"/>
    <w:rsid w:val="001B501D"/>
    <w:rsid w:val="00206518"/>
    <w:rsid w:val="00214C97"/>
    <w:rsid w:val="002B3D50"/>
    <w:rsid w:val="002C428E"/>
    <w:rsid w:val="002E0318"/>
    <w:rsid w:val="002E356A"/>
    <w:rsid w:val="002F6EF3"/>
    <w:rsid w:val="00337999"/>
    <w:rsid w:val="003B6D4E"/>
    <w:rsid w:val="003E4FEE"/>
    <w:rsid w:val="00421866"/>
    <w:rsid w:val="00467147"/>
    <w:rsid w:val="004A79DB"/>
    <w:rsid w:val="004D51AF"/>
    <w:rsid w:val="004E31DB"/>
    <w:rsid w:val="004E5CF2"/>
    <w:rsid w:val="00544D09"/>
    <w:rsid w:val="005B2A1B"/>
    <w:rsid w:val="005E3ECA"/>
    <w:rsid w:val="00613866"/>
    <w:rsid w:val="006E0D9E"/>
    <w:rsid w:val="00733408"/>
    <w:rsid w:val="007B1DEE"/>
    <w:rsid w:val="007C1F29"/>
    <w:rsid w:val="007D2BE3"/>
    <w:rsid w:val="007D5ED8"/>
    <w:rsid w:val="00802A56"/>
    <w:rsid w:val="0084255A"/>
    <w:rsid w:val="00861CDA"/>
    <w:rsid w:val="00962A40"/>
    <w:rsid w:val="0098437C"/>
    <w:rsid w:val="009D0651"/>
    <w:rsid w:val="009E4124"/>
    <w:rsid w:val="00A42466"/>
    <w:rsid w:val="00A53EE0"/>
    <w:rsid w:val="00AA60B8"/>
    <w:rsid w:val="00AB5682"/>
    <w:rsid w:val="00AF4A89"/>
    <w:rsid w:val="00B311F6"/>
    <w:rsid w:val="00B36DEA"/>
    <w:rsid w:val="00B41652"/>
    <w:rsid w:val="00B61830"/>
    <w:rsid w:val="00B7387A"/>
    <w:rsid w:val="00B90501"/>
    <w:rsid w:val="00BD117F"/>
    <w:rsid w:val="00BE30BC"/>
    <w:rsid w:val="00C009C5"/>
    <w:rsid w:val="00C324CC"/>
    <w:rsid w:val="00C3490F"/>
    <w:rsid w:val="00CD3C09"/>
    <w:rsid w:val="00D066EA"/>
    <w:rsid w:val="00DA679B"/>
    <w:rsid w:val="00E317E5"/>
    <w:rsid w:val="00E4525A"/>
    <w:rsid w:val="00E6524E"/>
    <w:rsid w:val="00EB0D88"/>
    <w:rsid w:val="00EC057D"/>
    <w:rsid w:val="00F07081"/>
    <w:rsid w:val="00F2159E"/>
    <w:rsid w:val="00F75118"/>
    <w:rsid w:val="00FC0C97"/>
    <w:rsid w:val="00FC338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25B9"/>
  <w15:chartTrackingRefBased/>
  <w15:docId w15:val="{77499748-07AB-4194-B265-FAEB823F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7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1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8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5682"/>
    <w:pPr>
      <w:ind w:left="720"/>
      <w:contextualSpacing/>
    </w:pPr>
  </w:style>
  <w:style w:type="table" w:styleId="GridTable3-Accent4">
    <w:name w:val="Grid Table 3 Accent 4"/>
    <w:basedOn w:val="TableNormal"/>
    <w:uiPriority w:val="48"/>
    <w:rsid w:val="00962A4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99A3-22B7-4A7A-8589-AEA8C02A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Kelsey Dowlath</dc:creator>
  <cp:keywords/>
  <dc:description/>
  <cp:lastModifiedBy>thais.campbell</cp:lastModifiedBy>
  <cp:revision>3</cp:revision>
  <cp:lastPrinted>2017-11-25T04:10:00Z</cp:lastPrinted>
  <dcterms:created xsi:type="dcterms:W3CDTF">2018-11-17T12:19:00Z</dcterms:created>
  <dcterms:modified xsi:type="dcterms:W3CDTF">2018-11-17T18:42:00Z</dcterms:modified>
</cp:coreProperties>
</file>