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4F" w:rsidRPr="004C114F" w:rsidRDefault="004C114F" w:rsidP="004C114F">
      <w:pPr>
        <w:spacing w:before="100" w:beforeAutospacing="1" w:after="100" w:afterAutospacing="1" w:line="240" w:lineRule="auto"/>
        <w:jc w:val="center"/>
        <w:outlineLvl w:val="0"/>
        <w:rPr>
          <w:rFonts w:ascii="Times New Roman" w:eastAsia="Times New Roman" w:hAnsi="Times New Roman" w:cs="Times New Roman"/>
          <w:b/>
          <w:bCs/>
          <w:kern w:val="36"/>
          <w:sz w:val="56"/>
          <w:szCs w:val="48"/>
          <w:lang w:eastAsia="es-ES"/>
        </w:rPr>
      </w:pPr>
      <w:r w:rsidRPr="004C114F">
        <w:rPr>
          <w:rFonts w:ascii="Times New Roman" w:eastAsia="Times New Roman" w:hAnsi="Times New Roman" w:cs="Times New Roman"/>
          <w:b/>
          <w:bCs/>
          <w:kern w:val="36"/>
          <w:sz w:val="56"/>
          <w:szCs w:val="48"/>
          <w:lang w:eastAsia="es-ES"/>
        </w:rPr>
        <w:t>Síntesis proteica</w:t>
      </w:r>
    </w:p>
    <w:p w:rsidR="004C114F" w:rsidRDefault="004C114F" w:rsidP="004C114F">
      <w:pPr>
        <w:spacing w:before="100" w:beforeAutospacing="1" w:after="100" w:afterAutospacing="1" w:line="240" w:lineRule="auto"/>
        <w:rPr>
          <w:rFonts w:ascii="Times New Roman" w:eastAsia="Times New Roman" w:hAnsi="Times New Roman" w:cs="Times New Roman"/>
          <w:sz w:val="40"/>
          <w:szCs w:val="24"/>
          <w:lang w:eastAsia="es-ES"/>
        </w:rPr>
      </w:pPr>
    </w:p>
    <w:p w:rsidR="004C114F" w:rsidRPr="004C114F" w:rsidRDefault="004C114F" w:rsidP="004C114F">
      <w:p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 xml:space="preserve">La </w:t>
      </w:r>
      <w:r w:rsidRPr="004C114F">
        <w:rPr>
          <w:rFonts w:ascii="Times New Roman" w:eastAsia="Times New Roman" w:hAnsi="Times New Roman" w:cs="Times New Roman"/>
          <w:b/>
          <w:bCs/>
          <w:color w:val="000000" w:themeColor="text1"/>
          <w:sz w:val="40"/>
          <w:szCs w:val="24"/>
          <w:lang w:eastAsia="es-ES"/>
        </w:rPr>
        <w:t>síntesis de proteínas</w:t>
      </w:r>
      <w:r w:rsidRPr="004C114F">
        <w:rPr>
          <w:rFonts w:ascii="Times New Roman" w:eastAsia="Times New Roman" w:hAnsi="Times New Roman" w:cs="Times New Roman"/>
          <w:color w:val="000000" w:themeColor="text1"/>
          <w:sz w:val="40"/>
          <w:szCs w:val="24"/>
          <w:lang w:eastAsia="es-ES"/>
        </w:rPr>
        <w:t xml:space="preserve"> o </w:t>
      </w:r>
      <w:r w:rsidRPr="004C114F">
        <w:rPr>
          <w:rFonts w:ascii="Times New Roman" w:eastAsia="Times New Roman" w:hAnsi="Times New Roman" w:cs="Times New Roman"/>
          <w:b/>
          <w:bCs/>
          <w:color w:val="000000" w:themeColor="text1"/>
          <w:sz w:val="40"/>
          <w:szCs w:val="24"/>
          <w:lang w:eastAsia="es-ES"/>
        </w:rPr>
        <w:t>traducción del ADN</w:t>
      </w:r>
      <w:r w:rsidRPr="004C114F">
        <w:rPr>
          <w:rFonts w:ascii="Times New Roman" w:eastAsia="Times New Roman" w:hAnsi="Times New Roman" w:cs="Times New Roman"/>
          <w:color w:val="000000" w:themeColor="text1"/>
          <w:sz w:val="40"/>
          <w:szCs w:val="24"/>
          <w:lang w:eastAsia="es-ES"/>
        </w:rPr>
        <w:t xml:space="preserve"> es el proceso mediante el cual anabólicamente se forman las </w:t>
      </w:r>
      <w:hyperlink r:id="rId5" w:tooltip="Proteína" w:history="1">
        <w:r w:rsidRPr="004C114F">
          <w:rPr>
            <w:rFonts w:ascii="Times New Roman" w:eastAsia="Times New Roman" w:hAnsi="Times New Roman" w:cs="Times New Roman"/>
            <w:color w:val="000000" w:themeColor="text1"/>
            <w:sz w:val="40"/>
            <w:szCs w:val="24"/>
            <w:lang w:eastAsia="es-ES"/>
          </w:rPr>
          <w:t>proteínas</w:t>
        </w:r>
      </w:hyperlink>
      <w:r w:rsidRPr="004C114F">
        <w:rPr>
          <w:rFonts w:ascii="Times New Roman" w:eastAsia="Times New Roman" w:hAnsi="Times New Roman" w:cs="Times New Roman"/>
          <w:color w:val="000000" w:themeColor="text1"/>
          <w:sz w:val="40"/>
          <w:szCs w:val="24"/>
          <w:lang w:eastAsia="es-ES"/>
        </w:rPr>
        <w:t xml:space="preserve"> a partir de los nucleótidos. Es el paso siguiente a la </w:t>
      </w:r>
      <w:hyperlink r:id="rId6" w:tooltip="Transcripción del ADN" w:history="1">
        <w:r w:rsidRPr="004C114F">
          <w:rPr>
            <w:rFonts w:ascii="Times New Roman" w:eastAsia="Times New Roman" w:hAnsi="Times New Roman" w:cs="Times New Roman"/>
            <w:color w:val="000000" w:themeColor="text1"/>
            <w:sz w:val="40"/>
            <w:szCs w:val="24"/>
            <w:lang w:eastAsia="es-ES"/>
          </w:rPr>
          <w:t>transcripción del ADN</w:t>
        </w:r>
      </w:hyperlink>
      <w:r w:rsidRPr="004C114F">
        <w:rPr>
          <w:rFonts w:ascii="Times New Roman" w:eastAsia="Times New Roman" w:hAnsi="Times New Roman" w:cs="Times New Roman"/>
          <w:color w:val="000000" w:themeColor="text1"/>
          <w:sz w:val="40"/>
          <w:szCs w:val="24"/>
          <w:lang w:eastAsia="es-ES"/>
        </w:rPr>
        <w:t xml:space="preserve"> a </w:t>
      </w:r>
      <w:hyperlink r:id="rId7" w:tooltip="ARN" w:history="1">
        <w:r w:rsidRPr="004C114F">
          <w:rPr>
            <w:rFonts w:ascii="Times New Roman" w:eastAsia="Times New Roman" w:hAnsi="Times New Roman" w:cs="Times New Roman"/>
            <w:color w:val="000000" w:themeColor="text1"/>
            <w:sz w:val="40"/>
            <w:szCs w:val="24"/>
            <w:lang w:eastAsia="es-ES"/>
          </w:rPr>
          <w:t>ARN</w:t>
        </w:r>
      </w:hyperlink>
      <w:r w:rsidRPr="004C114F">
        <w:rPr>
          <w:rFonts w:ascii="Times New Roman" w:eastAsia="Times New Roman" w:hAnsi="Times New Roman" w:cs="Times New Roman"/>
          <w:color w:val="000000" w:themeColor="text1"/>
          <w:sz w:val="40"/>
          <w:szCs w:val="24"/>
          <w:lang w:eastAsia="es-ES"/>
        </w:rPr>
        <w:t>. Como existen veinte aminoácidos diferentes y sólo hay cuatro nucleótidos en el ARN (</w:t>
      </w:r>
      <w:hyperlink r:id="rId8" w:tooltip="Adenina" w:history="1">
        <w:r w:rsidRPr="004C114F">
          <w:rPr>
            <w:rFonts w:ascii="Times New Roman" w:eastAsia="Times New Roman" w:hAnsi="Times New Roman" w:cs="Times New Roman"/>
            <w:color w:val="000000" w:themeColor="text1"/>
            <w:sz w:val="40"/>
            <w:szCs w:val="24"/>
            <w:lang w:eastAsia="es-ES"/>
          </w:rPr>
          <w:t>Adenina</w:t>
        </w:r>
      </w:hyperlink>
      <w:r w:rsidRPr="004C114F">
        <w:rPr>
          <w:rFonts w:ascii="Times New Roman" w:eastAsia="Times New Roman" w:hAnsi="Times New Roman" w:cs="Times New Roman"/>
          <w:color w:val="000000" w:themeColor="text1"/>
          <w:sz w:val="40"/>
          <w:szCs w:val="24"/>
          <w:lang w:eastAsia="es-ES"/>
        </w:rPr>
        <w:t xml:space="preserve">, </w:t>
      </w:r>
      <w:hyperlink r:id="rId9" w:tooltip="Uracilo" w:history="1">
        <w:r w:rsidRPr="004C114F">
          <w:rPr>
            <w:rFonts w:ascii="Times New Roman" w:eastAsia="Times New Roman" w:hAnsi="Times New Roman" w:cs="Times New Roman"/>
            <w:color w:val="000000" w:themeColor="text1"/>
            <w:sz w:val="40"/>
            <w:szCs w:val="24"/>
            <w:lang w:eastAsia="es-ES"/>
          </w:rPr>
          <w:t>Uracilo</w:t>
        </w:r>
      </w:hyperlink>
      <w:r w:rsidRPr="004C114F">
        <w:rPr>
          <w:rFonts w:ascii="Times New Roman" w:eastAsia="Times New Roman" w:hAnsi="Times New Roman" w:cs="Times New Roman"/>
          <w:color w:val="000000" w:themeColor="text1"/>
          <w:sz w:val="40"/>
          <w:szCs w:val="24"/>
          <w:lang w:eastAsia="es-ES"/>
        </w:rPr>
        <w:t xml:space="preserve">, </w:t>
      </w:r>
      <w:hyperlink r:id="rId10" w:tooltip="Citosina" w:history="1">
        <w:r w:rsidRPr="004C114F">
          <w:rPr>
            <w:rFonts w:ascii="Times New Roman" w:eastAsia="Times New Roman" w:hAnsi="Times New Roman" w:cs="Times New Roman"/>
            <w:color w:val="000000" w:themeColor="text1"/>
            <w:sz w:val="40"/>
            <w:szCs w:val="24"/>
            <w:lang w:eastAsia="es-ES"/>
          </w:rPr>
          <w:t>Citosina</w:t>
        </w:r>
      </w:hyperlink>
      <w:r w:rsidRPr="004C114F">
        <w:rPr>
          <w:rFonts w:ascii="Times New Roman" w:eastAsia="Times New Roman" w:hAnsi="Times New Roman" w:cs="Times New Roman"/>
          <w:color w:val="000000" w:themeColor="text1"/>
          <w:sz w:val="40"/>
          <w:szCs w:val="24"/>
          <w:lang w:eastAsia="es-ES"/>
        </w:rPr>
        <w:t xml:space="preserve"> y </w:t>
      </w:r>
      <w:hyperlink r:id="rId11" w:tooltip="Guanina" w:history="1">
        <w:r w:rsidRPr="004C114F">
          <w:rPr>
            <w:rFonts w:ascii="Times New Roman" w:eastAsia="Times New Roman" w:hAnsi="Times New Roman" w:cs="Times New Roman"/>
            <w:color w:val="000000" w:themeColor="text1"/>
            <w:sz w:val="40"/>
            <w:szCs w:val="24"/>
            <w:lang w:eastAsia="es-ES"/>
          </w:rPr>
          <w:t>Guanina</w:t>
        </w:r>
      </w:hyperlink>
      <w:r w:rsidRPr="004C114F">
        <w:rPr>
          <w:rFonts w:ascii="Times New Roman" w:eastAsia="Times New Roman" w:hAnsi="Times New Roman" w:cs="Times New Roman"/>
          <w:color w:val="000000" w:themeColor="text1"/>
          <w:sz w:val="40"/>
          <w:szCs w:val="24"/>
          <w:lang w:eastAsia="es-ES"/>
        </w:rPr>
        <w:t xml:space="preserve">), es evidente que la relación no puede ser un aminoácido por cada </w:t>
      </w:r>
      <w:hyperlink r:id="rId12" w:tooltip="Nucleótido" w:history="1">
        <w:r w:rsidRPr="004C114F">
          <w:rPr>
            <w:rFonts w:ascii="Times New Roman" w:eastAsia="Times New Roman" w:hAnsi="Times New Roman" w:cs="Times New Roman"/>
            <w:color w:val="000000" w:themeColor="text1"/>
            <w:sz w:val="40"/>
            <w:szCs w:val="24"/>
            <w:lang w:eastAsia="es-ES"/>
          </w:rPr>
          <w:t>nucleótido</w:t>
        </w:r>
      </w:hyperlink>
      <w:r w:rsidRPr="004C114F">
        <w:rPr>
          <w:rFonts w:ascii="Times New Roman" w:eastAsia="Times New Roman" w:hAnsi="Times New Roman" w:cs="Times New Roman"/>
          <w:color w:val="000000" w:themeColor="text1"/>
          <w:sz w:val="40"/>
          <w:szCs w:val="24"/>
          <w:lang w:eastAsia="es-ES"/>
        </w:rPr>
        <w:t xml:space="preserve">, ni tampoco por cada dos nucleótidos, ya que los cuatro tomados de dos en dos, sólo dan dieciséis posibilidades. La colinearidad debe establecerse como mínimo entre cada aminoácido y tripletes de nucleótidos. Como hay sesenta y cuatro tripletes diferentes (combinación de cuatro elementos o nucleótidos tomados de tres en tres con repetición), es obvio que algunos aminoácidos deben tener correspondencia con varios tripletes diferentes. Los tripletes que codifican aminoácidos se denominan </w:t>
      </w:r>
      <w:hyperlink r:id="rId13" w:tooltip="Codón" w:history="1">
        <w:r w:rsidRPr="004C114F">
          <w:rPr>
            <w:rFonts w:ascii="Times New Roman" w:eastAsia="Times New Roman" w:hAnsi="Times New Roman" w:cs="Times New Roman"/>
            <w:color w:val="000000" w:themeColor="text1"/>
            <w:sz w:val="40"/>
            <w:szCs w:val="24"/>
            <w:lang w:eastAsia="es-ES"/>
          </w:rPr>
          <w:t>codones</w:t>
        </w:r>
      </w:hyperlink>
      <w:r w:rsidRPr="004C114F">
        <w:rPr>
          <w:rFonts w:ascii="Times New Roman" w:eastAsia="Times New Roman" w:hAnsi="Times New Roman" w:cs="Times New Roman"/>
          <w:color w:val="000000" w:themeColor="text1"/>
          <w:sz w:val="40"/>
          <w:szCs w:val="24"/>
          <w:lang w:eastAsia="es-ES"/>
        </w:rPr>
        <w:t xml:space="preserve">. La confirmación de esta hipótesis se debe a Nirenbert, </w:t>
      </w:r>
      <w:hyperlink r:id="rId14" w:tooltip="Severo Ochoa" w:history="1">
        <w:r w:rsidRPr="004C114F">
          <w:rPr>
            <w:rFonts w:ascii="Times New Roman" w:eastAsia="Times New Roman" w:hAnsi="Times New Roman" w:cs="Times New Roman"/>
            <w:color w:val="000000" w:themeColor="text1"/>
            <w:sz w:val="40"/>
            <w:szCs w:val="24"/>
            <w:lang w:eastAsia="es-ES"/>
          </w:rPr>
          <w:t>Ochoa</w:t>
        </w:r>
      </w:hyperlink>
      <w:r w:rsidRPr="004C114F">
        <w:rPr>
          <w:rFonts w:ascii="Times New Roman" w:eastAsia="Times New Roman" w:hAnsi="Times New Roman" w:cs="Times New Roman"/>
          <w:color w:val="000000" w:themeColor="text1"/>
          <w:sz w:val="40"/>
          <w:szCs w:val="24"/>
          <w:lang w:eastAsia="es-ES"/>
        </w:rPr>
        <w:t xml:space="preserve"> y Khorana.</w:t>
      </w:r>
    </w:p>
    <w:p w:rsidR="004C114F" w:rsidRPr="004C114F" w:rsidRDefault="004C114F" w:rsidP="004C114F">
      <w:p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En la biosíntesis de proteínas se pueden distinguir las siguientes etapas:</w:t>
      </w:r>
    </w:p>
    <w:p w:rsidR="004C114F" w:rsidRPr="004C114F" w:rsidRDefault="004C114F" w:rsidP="004C114F">
      <w:p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b/>
          <w:bCs/>
          <w:color w:val="000000" w:themeColor="text1"/>
          <w:sz w:val="40"/>
          <w:szCs w:val="24"/>
          <w:lang w:eastAsia="es-ES"/>
        </w:rPr>
        <w:t>a) Activación de los aminoácidos.</w:t>
      </w:r>
    </w:p>
    <w:p w:rsidR="004C114F" w:rsidRPr="004C114F" w:rsidRDefault="004C114F" w:rsidP="004C114F">
      <w:p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b/>
          <w:bCs/>
          <w:color w:val="000000" w:themeColor="text1"/>
          <w:sz w:val="40"/>
          <w:szCs w:val="24"/>
          <w:lang w:eastAsia="es-ES"/>
        </w:rPr>
        <w:lastRenderedPageBreak/>
        <w:t>b) Traducción:</w:t>
      </w:r>
    </w:p>
    <w:p w:rsidR="004C114F" w:rsidRPr="004C114F" w:rsidRDefault="004C114F" w:rsidP="004C114F">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 xml:space="preserve">Iniciación de la síntesis. </w:t>
      </w:r>
    </w:p>
    <w:p w:rsidR="004C114F" w:rsidRPr="004C114F" w:rsidRDefault="004C114F" w:rsidP="004C114F">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 xml:space="preserve">Elongación de la </w:t>
      </w:r>
      <w:hyperlink r:id="rId15" w:tooltip="Cadena polipeptídica" w:history="1">
        <w:r w:rsidRPr="004C114F">
          <w:rPr>
            <w:rFonts w:ascii="Times New Roman" w:eastAsia="Times New Roman" w:hAnsi="Times New Roman" w:cs="Times New Roman"/>
            <w:color w:val="000000" w:themeColor="text1"/>
            <w:sz w:val="40"/>
            <w:szCs w:val="24"/>
            <w:lang w:eastAsia="es-ES"/>
          </w:rPr>
          <w:t>cadena polipeptídica</w:t>
        </w:r>
      </w:hyperlink>
      <w:r w:rsidRPr="004C114F">
        <w:rPr>
          <w:rFonts w:ascii="Times New Roman" w:eastAsia="Times New Roman" w:hAnsi="Times New Roman" w:cs="Times New Roman"/>
          <w:color w:val="000000" w:themeColor="text1"/>
          <w:sz w:val="40"/>
          <w:szCs w:val="24"/>
          <w:lang w:eastAsia="es-ES"/>
        </w:rPr>
        <w:t xml:space="preserve">. </w:t>
      </w:r>
    </w:p>
    <w:p w:rsidR="004C114F" w:rsidRPr="004C114F" w:rsidRDefault="004C114F" w:rsidP="004C114F">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 xml:space="preserve">Terminación de la síntesis. </w:t>
      </w:r>
    </w:p>
    <w:p w:rsidR="004C114F" w:rsidRPr="004C114F" w:rsidRDefault="004C114F" w:rsidP="004C114F">
      <w:p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b/>
          <w:bCs/>
          <w:color w:val="000000" w:themeColor="text1"/>
          <w:sz w:val="40"/>
          <w:szCs w:val="24"/>
          <w:lang w:eastAsia="es-ES"/>
        </w:rPr>
        <w:t>c) Asociación de varias cadenas polipeptídicas</w:t>
      </w:r>
      <w:r w:rsidRPr="004C114F">
        <w:rPr>
          <w:rFonts w:ascii="Times New Roman" w:eastAsia="Times New Roman" w:hAnsi="Times New Roman" w:cs="Times New Roman"/>
          <w:color w:val="000000" w:themeColor="text1"/>
          <w:sz w:val="40"/>
          <w:szCs w:val="24"/>
          <w:lang w:eastAsia="es-ES"/>
        </w:rPr>
        <w:t xml:space="preserve"> y a veces de grupos prostésicos para constituir las proteínas.</w:t>
      </w:r>
    </w:p>
    <w:p w:rsidR="004C114F" w:rsidRPr="004C114F" w:rsidRDefault="004C114F" w:rsidP="004C114F">
      <w:p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 xml:space="preserve">La síntesis de proteínas o traducción tiene lugar en los </w:t>
      </w:r>
      <w:hyperlink r:id="rId16" w:tooltip="Ribosoma" w:history="1">
        <w:r w:rsidRPr="004C114F">
          <w:rPr>
            <w:rFonts w:ascii="Times New Roman" w:eastAsia="Times New Roman" w:hAnsi="Times New Roman" w:cs="Times New Roman"/>
            <w:color w:val="000000" w:themeColor="text1"/>
            <w:sz w:val="40"/>
            <w:szCs w:val="24"/>
            <w:lang w:eastAsia="es-ES"/>
          </w:rPr>
          <w:t>ribosomas</w:t>
        </w:r>
      </w:hyperlink>
      <w:r w:rsidRPr="004C114F">
        <w:rPr>
          <w:rFonts w:ascii="Times New Roman" w:eastAsia="Times New Roman" w:hAnsi="Times New Roman" w:cs="Times New Roman"/>
          <w:color w:val="000000" w:themeColor="text1"/>
          <w:sz w:val="40"/>
          <w:szCs w:val="24"/>
          <w:lang w:eastAsia="es-ES"/>
        </w:rPr>
        <w:t xml:space="preserve"> del </w:t>
      </w:r>
      <w:hyperlink r:id="rId17" w:tooltip="Citoplasma" w:history="1">
        <w:r w:rsidRPr="004C114F">
          <w:rPr>
            <w:rFonts w:ascii="Times New Roman" w:eastAsia="Times New Roman" w:hAnsi="Times New Roman" w:cs="Times New Roman"/>
            <w:color w:val="000000" w:themeColor="text1"/>
            <w:sz w:val="40"/>
            <w:szCs w:val="24"/>
            <w:lang w:eastAsia="es-ES"/>
          </w:rPr>
          <w:t>citoplasma</w:t>
        </w:r>
      </w:hyperlink>
      <w:r w:rsidRPr="004C114F">
        <w:rPr>
          <w:rFonts w:ascii="Times New Roman" w:eastAsia="Times New Roman" w:hAnsi="Times New Roman" w:cs="Times New Roman"/>
          <w:color w:val="000000" w:themeColor="text1"/>
          <w:sz w:val="40"/>
          <w:szCs w:val="24"/>
          <w:lang w:eastAsia="es-ES"/>
        </w:rPr>
        <w:t xml:space="preserve"> celular. Los aminoácidos son transportados por el </w:t>
      </w:r>
      <w:hyperlink r:id="rId18" w:tooltip="ARN de transferencia" w:history="1">
        <w:r w:rsidRPr="004C114F">
          <w:rPr>
            <w:rFonts w:ascii="Times New Roman" w:eastAsia="Times New Roman" w:hAnsi="Times New Roman" w:cs="Times New Roman"/>
            <w:color w:val="000000" w:themeColor="text1"/>
            <w:sz w:val="40"/>
            <w:szCs w:val="24"/>
            <w:lang w:eastAsia="es-ES"/>
          </w:rPr>
          <w:t>ARN de transferencia</w:t>
        </w:r>
      </w:hyperlink>
      <w:r w:rsidRPr="004C114F">
        <w:rPr>
          <w:rFonts w:ascii="Times New Roman" w:eastAsia="Times New Roman" w:hAnsi="Times New Roman" w:cs="Times New Roman"/>
          <w:color w:val="000000" w:themeColor="text1"/>
          <w:sz w:val="40"/>
          <w:szCs w:val="24"/>
          <w:lang w:eastAsia="es-ES"/>
        </w:rPr>
        <w:t xml:space="preserve"> (ARNt), específico para cada uno de ellos, y son llevados hasta el </w:t>
      </w:r>
      <w:hyperlink r:id="rId19" w:tooltip="ARN mensajero" w:history="1">
        <w:r w:rsidRPr="004C114F">
          <w:rPr>
            <w:rFonts w:ascii="Times New Roman" w:eastAsia="Times New Roman" w:hAnsi="Times New Roman" w:cs="Times New Roman"/>
            <w:color w:val="000000" w:themeColor="text1"/>
            <w:sz w:val="40"/>
            <w:szCs w:val="24"/>
            <w:lang w:eastAsia="es-ES"/>
          </w:rPr>
          <w:t>ARN mensajero</w:t>
        </w:r>
      </w:hyperlink>
      <w:r w:rsidRPr="004C114F">
        <w:rPr>
          <w:rFonts w:ascii="Times New Roman" w:eastAsia="Times New Roman" w:hAnsi="Times New Roman" w:cs="Times New Roman"/>
          <w:color w:val="000000" w:themeColor="text1"/>
          <w:sz w:val="40"/>
          <w:szCs w:val="24"/>
          <w:lang w:eastAsia="es-ES"/>
        </w:rPr>
        <w:t xml:space="preserve"> (ARNm), donde se aparean el codón de éste y el anticodón del ARN de transferencia, por complementariedad de bases, y de ésta forma se sitúan en la posición que les corresponde.</w:t>
      </w:r>
    </w:p>
    <w:p w:rsidR="004C114F" w:rsidRPr="004C114F" w:rsidRDefault="004C114F" w:rsidP="004C114F">
      <w:p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Una vez finalizada la síntesis de una proteína, el ARN mensajero queda libre y puede ser leído de nuevo. De hecho, es muy frecuente que antes de que finalice una proteína ya está comenzando otra, con lo cual, una misma molécula de ARN mensajero, está siendo utilizada por varios ribosomas simultáneamente.</w:t>
      </w:r>
    </w:p>
    <w:p w:rsidR="004C114F" w:rsidRPr="004C114F" w:rsidRDefault="004C114F" w:rsidP="004C114F">
      <w:p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 xml:space="preserve">Activación de los aminoácidos Los aminoácidos en presencia de la </w:t>
      </w:r>
      <w:hyperlink r:id="rId20" w:tooltip="Enzima" w:history="1">
        <w:r w:rsidRPr="004C114F">
          <w:rPr>
            <w:rFonts w:ascii="Times New Roman" w:eastAsia="Times New Roman" w:hAnsi="Times New Roman" w:cs="Times New Roman"/>
            <w:color w:val="000000" w:themeColor="text1"/>
            <w:sz w:val="40"/>
            <w:szCs w:val="24"/>
            <w:lang w:eastAsia="es-ES"/>
          </w:rPr>
          <w:t>enzima</w:t>
        </w:r>
      </w:hyperlink>
      <w:r w:rsidRPr="004C114F">
        <w:rPr>
          <w:rFonts w:ascii="Times New Roman" w:eastAsia="Times New Roman" w:hAnsi="Times New Roman" w:cs="Times New Roman"/>
          <w:color w:val="000000" w:themeColor="text1"/>
          <w:sz w:val="40"/>
          <w:szCs w:val="24"/>
          <w:lang w:eastAsia="es-ES"/>
        </w:rPr>
        <w:t xml:space="preserve"> aminoacil-ARNt-sintetasa y de ATP son capaces de unirse a un </w:t>
      </w:r>
      <w:hyperlink r:id="rId21" w:tooltip="ARNt" w:history="1">
        <w:r w:rsidRPr="004C114F">
          <w:rPr>
            <w:rFonts w:ascii="Times New Roman" w:eastAsia="Times New Roman" w:hAnsi="Times New Roman" w:cs="Times New Roman"/>
            <w:color w:val="000000" w:themeColor="text1"/>
            <w:sz w:val="40"/>
            <w:szCs w:val="24"/>
            <w:lang w:eastAsia="es-ES"/>
          </w:rPr>
          <w:t>ARN de transferencia</w:t>
        </w:r>
      </w:hyperlink>
      <w:r w:rsidRPr="004C114F">
        <w:rPr>
          <w:rFonts w:ascii="Times New Roman" w:eastAsia="Times New Roman" w:hAnsi="Times New Roman" w:cs="Times New Roman"/>
          <w:color w:val="000000" w:themeColor="text1"/>
          <w:sz w:val="40"/>
          <w:szCs w:val="24"/>
          <w:lang w:eastAsia="es-ES"/>
        </w:rPr>
        <w:t xml:space="preserve"> específico y dan lugar a un aminoacil-ARNt, </w:t>
      </w:r>
      <w:r w:rsidRPr="004C114F">
        <w:rPr>
          <w:rFonts w:ascii="Times New Roman" w:eastAsia="Times New Roman" w:hAnsi="Times New Roman" w:cs="Times New Roman"/>
          <w:color w:val="000000" w:themeColor="text1"/>
          <w:sz w:val="40"/>
          <w:szCs w:val="24"/>
          <w:lang w:eastAsia="es-ES"/>
        </w:rPr>
        <w:lastRenderedPageBreak/>
        <w:t>liberándose AMP, fosfato y quedando libre la enzima, que vuelve a actuar.</w:t>
      </w:r>
    </w:p>
    <w:tbl>
      <w:tblPr>
        <w:tblW w:w="0" w:type="auto"/>
        <w:tblCellSpacing w:w="15" w:type="dxa"/>
        <w:tblCellMar>
          <w:top w:w="15" w:type="dxa"/>
          <w:left w:w="15" w:type="dxa"/>
          <w:bottom w:w="15" w:type="dxa"/>
          <w:right w:w="15" w:type="dxa"/>
        </w:tblCellMar>
        <w:tblLook w:val="04A0"/>
      </w:tblPr>
      <w:tblGrid>
        <w:gridCol w:w="1170"/>
      </w:tblGrid>
      <w:tr w:rsidR="004C114F" w:rsidRPr="004C114F" w:rsidTr="009A2D5A">
        <w:trPr>
          <w:tblCellSpacing w:w="15" w:type="dxa"/>
        </w:trPr>
        <w:tc>
          <w:tcPr>
            <w:tcW w:w="0" w:type="auto"/>
            <w:vAlign w:val="center"/>
            <w:hideMark/>
          </w:tcPr>
          <w:p w:rsidR="004C114F" w:rsidRPr="004C114F" w:rsidRDefault="004C114F" w:rsidP="004C114F">
            <w:pPr>
              <w:spacing w:before="100" w:beforeAutospacing="1" w:after="100" w:afterAutospacing="1" w:line="240" w:lineRule="auto"/>
              <w:jc w:val="both"/>
              <w:rPr>
                <w:rFonts w:ascii="Times New Roman" w:eastAsia="Times New Roman" w:hAnsi="Times New Roman" w:cs="Times New Roman"/>
                <w:vanish/>
                <w:color w:val="000000" w:themeColor="text1"/>
                <w:sz w:val="40"/>
                <w:szCs w:val="24"/>
                <w:lang w:eastAsia="es-ES"/>
              </w:rPr>
            </w:pPr>
            <w:hyperlink r:id="rId22" w:anchor="Etapas" w:history="1">
              <w:r w:rsidRPr="004C114F">
                <w:rPr>
                  <w:rFonts w:ascii="Times New Roman" w:eastAsia="Times New Roman" w:hAnsi="Times New Roman" w:cs="Times New Roman"/>
                  <w:vanish/>
                  <w:color w:val="000000" w:themeColor="text1"/>
                  <w:sz w:val="40"/>
                  <w:szCs w:val="24"/>
                  <w:lang w:eastAsia="es-ES"/>
                </w:rPr>
                <w:t>1 Etapas</w:t>
              </w:r>
            </w:hyperlink>
            <w:r w:rsidRPr="004C114F">
              <w:rPr>
                <w:rFonts w:ascii="Times New Roman" w:eastAsia="Times New Roman" w:hAnsi="Times New Roman" w:cs="Times New Roman"/>
                <w:vanish/>
                <w:color w:val="000000" w:themeColor="text1"/>
                <w:sz w:val="40"/>
                <w:szCs w:val="24"/>
                <w:lang w:eastAsia="es-ES"/>
              </w:rPr>
              <w:t xml:space="preserve"> </w:t>
            </w:r>
          </w:p>
          <w:p w:rsidR="004C114F" w:rsidRPr="004C114F" w:rsidRDefault="004C114F" w:rsidP="004C114F">
            <w:pPr>
              <w:numPr>
                <w:ilvl w:val="1"/>
                <w:numId w:val="2"/>
              </w:numPr>
              <w:spacing w:before="100" w:beforeAutospacing="1" w:after="100" w:afterAutospacing="1" w:line="240" w:lineRule="auto"/>
              <w:jc w:val="both"/>
              <w:rPr>
                <w:rFonts w:ascii="Times New Roman" w:eastAsia="Times New Roman" w:hAnsi="Times New Roman" w:cs="Times New Roman"/>
                <w:vanish/>
                <w:color w:val="000000" w:themeColor="text1"/>
                <w:sz w:val="40"/>
                <w:szCs w:val="24"/>
                <w:lang w:eastAsia="es-ES"/>
              </w:rPr>
            </w:pPr>
            <w:hyperlink r:id="rId23" w:anchor="Iniciaci.C3.B3n_de_la_s.C3.ADntesis_de_prote.C3.ADnas" w:history="1">
              <w:r w:rsidRPr="004C114F">
                <w:rPr>
                  <w:rFonts w:ascii="Times New Roman" w:eastAsia="Times New Roman" w:hAnsi="Times New Roman" w:cs="Times New Roman"/>
                  <w:vanish/>
                  <w:color w:val="000000" w:themeColor="text1"/>
                  <w:sz w:val="40"/>
                  <w:szCs w:val="24"/>
                  <w:lang w:eastAsia="es-ES"/>
                </w:rPr>
                <w:t>1.1 Iniciación de la síntesis de proteínas</w:t>
              </w:r>
            </w:hyperlink>
            <w:r w:rsidRPr="004C114F">
              <w:rPr>
                <w:rFonts w:ascii="Times New Roman" w:eastAsia="Times New Roman" w:hAnsi="Times New Roman" w:cs="Times New Roman"/>
                <w:vanish/>
                <w:color w:val="000000" w:themeColor="text1"/>
                <w:sz w:val="40"/>
                <w:szCs w:val="24"/>
                <w:lang w:eastAsia="es-ES"/>
              </w:rPr>
              <w:t xml:space="preserve"> </w:t>
            </w:r>
          </w:p>
          <w:p w:rsidR="004C114F" w:rsidRPr="004C114F" w:rsidRDefault="004C114F" w:rsidP="004C114F">
            <w:pPr>
              <w:numPr>
                <w:ilvl w:val="1"/>
                <w:numId w:val="2"/>
              </w:numPr>
              <w:spacing w:before="100" w:beforeAutospacing="1" w:after="100" w:afterAutospacing="1" w:line="240" w:lineRule="auto"/>
              <w:jc w:val="both"/>
              <w:rPr>
                <w:rFonts w:ascii="Times New Roman" w:eastAsia="Times New Roman" w:hAnsi="Times New Roman" w:cs="Times New Roman"/>
                <w:vanish/>
                <w:color w:val="000000" w:themeColor="text1"/>
                <w:sz w:val="40"/>
                <w:szCs w:val="24"/>
                <w:lang w:eastAsia="es-ES"/>
              </w:rPr>
            </w:pPr>
            <w:hyperlink r:id="rId24" w:anchor="Elongaci.C3.B3n_de_la_cadena_polipept.C3.ADdica" w:history="1">
              <w:r w:rsidRPr="004C114F">
                <w:rPr>
                  <w:rFonts w:ascii="Times New Roman" w:eastAsia="Times New Roman" w:hAnsi="Times New Roman" w:cs="Times New Roman"/>
                  <w:vanish/>
                  <w:color w:val="000000" w:themeColor="text1"/>
                  <w:sz w:val="40"/>
                  <w:szCs w:val="24"/>
                  <w:lang w:eastAsia="es-ES"/>
                </w:rPr>
                <w:t>1.2 Elongación de la cadena polipeptídica</w:t>
              </w:r>
            </w:hyperlink>
            <w:r w:rsidRPr="004C114F">
              <w:rPr>
                <w:rFonts w:ascii="Times New Roman" w:eastAsia="Times New Roman" w:hAnsi="Times New Roman" w:cs="Times New Roman"/>
                <w:vanish/>
                <w:color w:val="000000" w:themeColor="text1"/>
                <w:sz w:val="40"/>
                <w:szCs w:val="24"/>
                <w:lang w:eastAsia="es-ES"/>
              </w:rPr>
              <w:t xml:space="preserve"> </w:t>
            </w:r>
          </w:p>
          <w:p w:rsidR="004C114F" w:rsidRPr="004C114F" w:rsidRDefault="004C114F" w:rsidP="004C114F">
            <w:pPr>
              <w:numPr>
                <w:ilvl w:val="1"/>
                <w:numId w:val="2"/>
              </w:numPr>
              <w:spacing w:before="100" w:beforeAutospacing="1" w:after="100" w:afterAutospacing="1" w:line="240" w:lineRule="auto"/>
              <w:jc w:val="both"/>
              <w:rPr>
                <w:rFonts w:ascii="Times New Roman" w:eastAsia="Times New Roman" w:hAnsi="Times New Roman" w:cs="Times New Roman"/>
                <w:vanish/>
                <w:color w:val="000000" w:themeColor="text1"/>
                <w:sz w:val="40"/>
                <w:szCs w:val="24"/>
                <w:lang w:eastAsia="es-ES"/>
              </w:rPr>
            </w:pPr>
            <w:hyperlink r:id="rId25" w:anchor="Terminaci.C3.B3n_de_la_s.C3.ADntesis_de_la_cadena_polipept.C3.ADdica" w:history="1">
              <w:r w:rsidRPr="004C114F">
                <w:rPr>
                  <w:rFonts w:ascii="Times New Roman" w:eastAsia="Times New Roman" w:hAnsi="Times New Roman" w:cs="Times New Roman"/>
                  <w:vanish/>
                  <w:color w:val="000000" w:themeColor="text1"/>
                  <w:sz w:val="40"/>
                  <w:szCs w:val="24"/>
                  <w:lang w:eastAsia="es-ES"/>
                </w:rPr>
                <w:t>1.3 Terminación de la síntesis de la cadena polipeptídica</w:t>
              </w:r>
            </w:hyperlink>
            <w:r w:rsidRPr="004C114F">
              <w:rPr>
                <w:rFonts w:ascii="Times New Roman" w:eastAsia="Times New Roman" w:hAnsi="Times New Roman" w:cs="Times New Roman"/>
                <w:vanish/>
                <w:color w:val="000000" w:themeColor="text1"/>
                <w:sz w:val="40"/>
                <w:szCs w:val="24"/>
                <w:lang w:eastAsia="es-ES"/>
              </w:rPr>
              <w:t xml:space="preserve"> </w:t>
            </w:r>
          </w:p>
          <w:p w:rsidR="004C114F" w:rsidRPr="004C114F" w:rsidRDefault="004C114F" w:rsidP="004C114F">
            <w:pPr>
              <w:numPr>
                <w:ilvl w:val="0"/>
                <w:numId w:val="2"/>
              </w:numPr>
              <w:spacing w:before="100" w:beforeAutospacing="1" w:after="100" w:afterAutospacing="1" w:line="240" w:lineRule="auto"/>
              <w:jc w:val="both"/>
              <w:rPr>
                <w:rFonts w:ascii="Times New Roman" w:eastAsia="Times New Roman" w:hAnsi="Times New Roman" w:cs="Times New Roman"/>
                <w:vanish/>
                <w:color w:val="000000" w:themeColor="text1"/>
                <w:sz w:val="40"/>
                <w:szCs w:val="24"/>
                <w:lang w:eastAsia="es-ES"/>
              </w:rPr>
            </w:pPr>
            <w:hyperlink r:id="rId26" w:anchor="Enlaces_externos" w:history="1">
              <w:r w:rsidRPr="004C114F">
                <w:rPr>
                  <w:rFonts w:ascii="Times New Roman" w:eastAsia="Times New Roman" w:hAnsi="Times New Roman" w:cs="Times New Roman"/>
                  <w:vanish/>
                  <w:color w:val="000000" w:themeColor="text1"/>
                  <w:sz w:val="40"/>
                  <w:szCs w:val="24"/>
                  <w:lang w:eastAsia="es-ES"/>
                </w:rPr>
                <w:t>2 Enlaces externos</w:t>
              </w:r>
            </w:hyperlink>
            <w:r w:rsidRPr="004C114F">
              <w:rPr>
                <w:rFonts w:ascii="Times New Roman" w:eastAsia="Times New Roman" w:hAnsi="Times New Roman" w:cs="Times New Roman"/>
                <w:vanish/>
                <w:color w:val="000000" w:themeColor="text1"/>
                <w:sz w:val="40"/>
                <w:szCs w:val="24"/>
                <w:lang w:eastAsia="es-ES"/>
              </w:rPr>
              <w:t xml:space="preserve"> </w:t>
            </w:r>
          </w:p>
        </w:tc>
      </w:tr>
    </w:tbl>
    <w:p w:rsidR="004C114F" w:rsidRPr="004C114F" w:rsidRDefault="004C114F" w:rsidP="004C114F">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52"/>
          <w:szCs w:val="36"/>
          <w:lang w:eastAsia="es-ES"/>
        </w:rPr>
      </w:pPr>
      <w:r w:rsidRPr="004C114F">
        <w:rPr>
          <w:rFonts w:ascii="Times New Roman" w:eastAsia="Times New Roman" w:hAnsi="Times New Roman" w:cs="Times New Roman"/>
          <w:b/>
          <w:bCs/>
          <w:color w:val="000000" w:themeColor="text1"/>
          <w:sz w:val="52"/>
          <w:szCs w:val="36"/>
          <w:lang w:eastAsia="es-ES"/>
        </w:rPr>
        <w:t>Etapas</w:t>
      </w:r>
    </w:p>
    <w:p w:rsidR="004C114F" w:rsidRPr="004C114F" w:rsidRDefault="004C114F" w:rsidP="004C114F">
      <w:pPr>
        <w:spacing w:before="100" w:beforeAutospacing="1" w:after="100" w:afterAutospacing="1" w:line="240" w:lineRule="auto"/>
        <w:jc w:val="both"/>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 xml:space="preserve">Previamente a la iniciación, es </w:t>
      </w:r>
      <w:proofErr w:type="gramStart"/>
      <w:r w:rsidRPr="004C114F">
        <w:rPr>
          <w:rFonts w:ascii="Times New Roman" w:eastAsia="Times New Roman" w:hAnsi="Times New Roman" w:cs="Times New Roman"/>
          <w:color w:val="000000" w:themeColor="text1"/>
          <w:sz w:val="40"/>
          <w:szCs w:val="24"/>
          <w:lang w:eastAsia="es-ES"/>
        </w:rPr>
        <w:t>preciso</w:t>
      </w:r>
      <w:proofErr w:type="gramEnd"/>
      <w:r w:rsidRPr="004C114F">
        <w:rPr>
          <w:rFonts w:ascii="Times New Roman" w:eastAsia="Times New Roman" w:hAnsi="Times New Roman" w:cs="Times New Roman"/>
          <w:color w:val="000000" w:themeColor="text1"/>
          <w:sz w:val="40"/>
          <w:szCs w:val="24"/>
          <w:lang w:eastAsia="es-ES"/>
        </w:rPr>
        <w:t xml:space="preserve"> una activación de los Aminoácidos. Ésta activación está catalizada por la enzima aminoacil-RNAt- sintetasa.</w:t>
      </w:r>
    </w:p>
    <w:p w:rsidR="004C114F" w:rsidRPr="004C114F" w:rsidRDefault="004C114F" w:rsidP="004C114F">
      <w:pPr>
        <w:spacing w:before="100" w:beforeAutospacing="1" w:after="100" w:afterAutospacing="1" w:line="240" w:lineRule="auto"/>
        <w:jc w:val="both"/>
        <w:outlineLvl w:val="2"/>
        <w:rPr>
          <w:rFonts w:ascii="Times New Roman" w:eastAsia="Times New Roman" w:hAnsi="Times New Roman" w:cs="Times New Roman"/>
          <w:color w:val="000000" w:themeColor="text1"/>
          <w:sz w:val="40"/>
          <w:lang w:eastAsia="es-ES"/>
        </w:rPr>
      </w:pPr>
      <w:r w:rsidRPr="004C114F">
        <w:rPr>
          <w:rFonts w:ascii="Times New Roman" w:eastAsia="Times New Roman" w:hAnsi="Times New Roman" w:cs="Times New Roman"/>
          <w:b/>
          <w:bCs/>
          <w:color w:val="000000" w:themeColor="text1"/>
          <w:sz w:val="40"/>
          <w:szCs w:val="27"/>
          <w:lang w:eastAsia="es-ES"/>
        </w:rPr>
        <w:t>Iniciación de la síntesis de proteínas</w:t>
      </w:r>
    </w:p>
    <w:p w:rsidR="004C114F" w:rsidRPr="004C114F" w:rsidRDefault="004C114F" w:rsidP="004C114F">
      <w:pPr>
        <w:spacing w:before="100" w:beforeAutospacing="1" w:after="100" w:afterAutospacing="1" w:line="240" w:lineRule="auto"/>
        <w:jc w:val="both"/>
        <w:outlineLvl w:val="2"/>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 xml:space="preserve">Es la primera etapa de la traducción o síntesis de proteínas. El ARN se une a la subunidad menor de los </w:t>
      </w:r>
      <w:hyperlink r:id="rId27" w:tooltip="Ribosoma" w:history="1">
        <w:r w:rsidRPr="004C114F">
          <w:rPr>
            <w:rFonts w:ascii="Times New Roman" w:eastAsia="Times New Roman" w:hAnsi="Times New Roman" w:cs="Times New Roman"/>
            <w:color w:val="000000" w:themeColor="text1"/>
            <w:sz w:val="40"/>
            <w:szCs w:val="24"/>
            <w:lang w:eastAsia="es-ES"/>
          </w:rPr>
          <w:t>ribosomas</w:t>
        </w:r>
      </w:hyperlink>
      <w:r w:rsidRPr="004C114F">
        <w:rPr>
          <w:rFonts w:ascii="Times New Roman" w:eastAsia="Times New Roman" w:hAnsi="Times New Roman" w:cs="Times New Roman"/>
          <w:color w:val="000000" w:themeColor="text1"/>
          <w:sz w:val="40"/>
          <w:szCs w:val="24"/>
          <w:lang w:eastAsia="es-ES"/>
        </w:rPr>
        <w:t xml:space="preserve">. A éstos se asocia el aminoacil-ARNt, gracias a que el ARNt tiene en una de sus asas un triplete de nucleótidos denominado </w:t>
      </w:r>
      <w:r w:rsidRPr="004C114F">
        <w:rPr>
          <w:rFonts w:ascii="Times New Roman" w:eastAsia="Times New Roman" w:hAnsi="Times New Roman" w:cs="Times New Roman"/>
          <w:b/>
          <w:bCs/>
          <w:color w:val="000000" w:themeColor="text1"/>
          <w:sz w:val="40"/>
          <w:szCs w:val="24"/>
          <w:lang w:eastAsia="es-ES"/>
        </w:rPr>
        <w:t>anticodón</w:t>
      </w:r>
      <w:r w:rsidRPr="004C114F">
        <w:rPr>
          <w:rFonts w:ascii="Times New Roman" w:eastAsia="Times New Roman" w:hAnsi="Times New Roman" w:cs="Times New Roman"/>
          <w:color w:val="000000" w:themeColor="text1"/>
          <w:sz w:val="40"/>
          <w:szCs w:val="24"/>
          <w:lang w:eastAsia="es-ES"/>
        </w:rPr>
        <w:t xml:space="preserve">, que se asocia al primer triplete </w:t>
      </w:r>
      <w:r w:rsidRPr="004C114F">
        <w:rPr>
          <w:rFonts w:ascii="Times New Roman" w:eastAsia="Times New Roman" w:hAnsi="Times New Roman" w:cs="Times New Roman"/>
          <w:b/>
          <w:bCs/>
          <w:color w:val="000000" w:themeColor="text1"/>
          <w:sz w:val="40"/>
          <w:szCs w:val="24"/>
          <w:lang w:eastAsia="es-ES"/>
        </w:rPr>
        <w:t>codón</w:t>
      </w:r>
      <w:r w:rsidRPr="004C114F">
        <w:rPr>
          <w:rFonts w:ascii="Times New Roman" w:eastAsia="Times New Roman" w:hAnsi="Times New Roman" w:cs="Times New Roman"/>
          <w:color w:val="000000" w:themeColor="text1"/>
          <w:sz w:val="40"/>
          <w:szCs w:val="24"/>
          <w:lang w:eastAsia="es-ES"/>
        </w:rPr>
        <w:t xml:space="preserve"> del ARNm según la complementariedad de las bases. A este grupo de moléculas se une la subunidad ribosómica mayor, formándose el complejo ribosomal o complejo activo. Todos estos procesos están catalizados por los llamados factores de iniciación (FI). El primer triplete o codón que se traduce es generalmente el AUG, que corresponde con el aminoácido </w:t>
      </w:r>
      <w:hyperlink r:id="rId28" w:tooltip="Metionina" w:history="1">
        <w:r w:rsidRPr="004C114F">
          <w:rPr>
            <w:rFonts w:ascii="Times New Roman" w:eastAsia="Times New Roman" w:hAnsi="Times New Roman" w:cs="Times New Roman"/>
            <w:color w:val="000000" w:themeColor="text1"/>
            <w:sz w:val="40"/>
            <w:szCs w:val="24"/>
            <w:lang w:eastAsia="es-ES"/>
          </w:rPr>
          <w:t>metionina</w:t>
        </w:r>
      </w:hyperlink>
      <w:r w:rsidRPr="004C114F">
        <w:rPr>
          <w:rFonts w:ascii="Times New Roman" w:eastAsia="Times New Roman" w:hAnsi="Times New Roman" w:cs="Times New Roman"/>
          <w:color w:val="000000" w:themeColor="text1"/>
          <w:sz w:val="40"/>
          <w:szCs w:val="24"/>
          <w:lang w:eastAsia="es-ES"/>
        </w:rPr>
        <w:t xml:space="preserve"> en </w:t>
      </w:r>
      <w:hyperlink r:id="rId29" w:tooltip="Eucariota" w:history="1">
        <w:r w:rsidRPr="004C114F">
          <w:rPr>
            <w:rFonts w:ascii="Times New Roman" w:eastAsia="Times New Roman" w:hAnsi="Times New Roman" w:cs="Times New Roman"/>
            <w:color w:val="000000" w:themeColor="text1"/>
            <w:sz w:val="40"/>
            <w:szCs w:val="24"/>
            <w:lang w:eastAsia="es-ES"/>
          </w:rPr>
          <w:t>eucariotas</w:t>
        </w:r>
      </w:hyperlink>
      <w:r w:rsidRPr="004C114F">
        <w:rPr>
          <w:rFonts w:ascii="Times New Roman" w:eastAsia="Times New Roman" w:hAnsi="Times New Roman" w:cs="Times New Roman"/>
          <w:color w:val="000000" w:themeColor="text1"/>
          <w:sz w:val="40"/>
          <w:szCs w:val="24"/>
          <w:lang w:eastAsia="es-ES"/>
        </w:rPr>
        <w:t xml:space="preserve">. En </w:t>
      </w:r>
      <w:hyperlink r:id="rId30" w:tooltip="Procariota" w:history="1">
        <w:r w:rsidRPr="004C114F">
          <w:rPr>
            <w:rFonts w:ascii="Times New Roman" w:eastAsia="Times New Roman" w:hAnsi="Times New Roman" w:cs="Times New Roman"/>
            <w:color w:val="000000" w:themeColor="text1"/>
            <w:sz w:val="40"/>
            <w:szCs w:val="24"/>
            <w:lang w:eastAsia="es-ES"/>
          </w:rPr>
          <w:t>procariotas</w:t>
        </w:r>
      </w:hyperlink>
      <w:r w:rsidRPr="004C114F">
        <w:rPr>
          <w:rFonts w:ascii="Times New Roman" w:eastAsia="Times New Roman" w:hAnsi="Times New Roman" w:cs="Times New Roman"/>
          <w:color w:val="000000" w:themeColor="text1"/>
          <w:sz w:val="40"/>
          <w:szCs w:val="24"/>
          <w:lang w:eastAsia="es-ES"/>
        </w:rPr>
        <w:t xml:space="preserve"> es la formilmetionina.</w:t>
      </w:r>
    </w:p>
    <w:p w:rsidR="004C114F" w:rsidRDefault="004C114F" w:rsidP="004C114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40"/>
          <w:szCs w:val="27"/>
          <w:lang w:eastAsia="es-ES"/>
        </w:rPr>
      </w:pPr>
    </w:p>
    <w:p w:rsidR="004C114F" w:rsidRPr="004C114F" w:rsidRDefault="004C114F" w:rsidP="004C114F">
      <w:pPr>
        <w:spacing w:before="100" w:beforeAutospacing="1" w:after="100" w:afterAutospacing="1" w:line="240" w:lineRule="auto"/>
        <w:jc w:val="center"/>
        <w:outlineLvl w:val="2"/>
        <w:rPr>
          <w:rFonts w:ascii="Times New Roman" w:eastAsia="Times New Roman" w:hAnsi="Times New Roman" w:cs="Times New Roman"/>
          <w:color w:val="000000" w:themeColor="text1"/>
          <w:sz w:val="40"/>
          <w:lang w:eastAsia="es-ES"/>
        </w:rPr>
      </w:pPr>
      <w:r w:rsidRPr="004C114F">
        <w:rPr>
          <w:rFonts w:ascii="Times New Roman" w:eastAsia="Times New Roman" w:hAnsi="Times New Roman" w:cs="Times New Roman"/>
          <w:b/>
          <w:bCs/>
          <w:color w:val="000000" w:themeColor="text1"/>
          <w:sz w:val="40"/>
          <w:szCs w:val="27"/>
          <w:lang w:eastAsia="es-ES"/>
        </w:rPr>
        <w:lastRenderedPageBreak/>
        <w:t>Elongación de la cadena polipeptídica</w:t>
      </w:r>
    </w:p>
    <w:p w:rsidR="004C114F" w:rsidRPr="004C114F" w:rsidRDefault="004C114F" w:rsidP="004C114F">
      <w:pPr>
        <w:spacing w:before="100" w:beforeAutospacing="1" w:after="100" w:afterAutospacing="1" w:line="240" w:lineRule="auto"/>
        <w:jc w:val="both"/>
        <w:outlineLvl w:val="2"/>
        <w:rPr>
          <w:rFonts w:ascii="Times New Roman" w:eastAsia="Times New Roman" w:hAnsi="Times New Roman" w:cs="Times New Roman"/>
          <w:color w:val="000000" w:themeColor="text1"/>
          <w:sz w:val="40"/>
          <w:szCs w:val="24"/>
          <w:lang w:eastAsia="es-ES"/>
        </w:rPr>
      </w:pPr>
    </w:p>
    <w:p w:rsidR="004C114F" w:rsidRPr="004C114F" w:rsidRDefault="004C114F" w:rsidP="004C114F">
      <w:pPr>
        <w:spacing w:before="100" w:beforeAutospacing="1" w:after="100" w:afterAutospacing="1" w:line="240" w:lineRule="auto"/>
        <w:jc w:val="both"/>
        <w:outlineLvl w:val="2"/>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 xml:space="preserve">El complejo ribosomal posee dos sitios de unión o centros. El centro peptidil o </w:t>
      </w:r>
      <w:r w:rsidRPr="004C114F">
        <w:rPr>
          <w:rFonts w:ascii="Times New Roman" w:eastAsia="Times New Roman" w:hAnsi="Times New Roman" w:cs="Times New Roman"/>
          <w:b/>
          <w:bCs/>
          <w:color w:val="000000" w:themeColor="text1"/>
          <w:sz w:val="40"/>
          <w:szCs w:val="24"/>
          <w:lang w:eastAsia="es-ES"/>
        </w:rPr>
        <w:t>centro P</w:t>
      </w:r>
      <w:r w:rsidRPr="004C114F">
        <w:rPr>
          <w:rFonts w:ascii="Times New Roman" w:eastAsia="Times New Roman" w:hAnsi="Times New Roman" w:cs="Times New Roman"/>
          <w:color w:val="000000" w:themeColor="text1"/>
          <w:sz w:val="40"/>
          <w:szCs w:val="24"/>
          <w:lang w:eastAsia="es-ES"/>
        </w:rPr>
        <w:t xml:space="preserve">, donde se sitúa el primer aminoacil-ARNt y el centro aceptor de nuevos aminoacil-ARNt o </w:t>
      </w:r>
      <w:r w:rsidRPr="004C114F">
        <w:rPr>
          <w:rFonts w:ascii="Times New Roman" w:eastAsia="Times New Roman" w:hAnsi="Times New Roman" w:cs="Times New Roman"/>
          <w:b/>
          <w:bCs/>
          <w:color w:val="000000" w:themeColor="text1"/>
          <w:sz w:val="40"/>
          <w:szCs w:val="24"/>
          <w:lang w:eastAsia="es-ES"/>
        </w:rPr>
        <w:t>centro A</w:t>
      </w:r>
      <w:r w:rsidRPr="004C114F">
        <w:rPr>
          <w:rFonts w:ascii="Times New Roman" w:eastAsia="Times New Roman" w:hAnsi="Times New Roman" w:cs="Times New Roman"/>
          <w:color w:val="000000" w:themeColor="text1"/>
          <w:sz w:val="40"/>
          <w:szCs w:val="24"/>
          <w:lang w:eastAsia="es-ES"/>
        </w:rPr>
        <w:t>. El carboxilo terminal (-COOH) del aminoácido iniciado se une con el amino terminal (-NH</w:t>
      </w:r>
      <w:r w:rsidRPr="004C114F">
        <w:rPr>
          <w:rFonts w:ascii="Times New Roman" w:eastAsia="Times New Roman" w:hAnsi="Times New Roman" w:cs="Times New Roman"/>
          <w:color w:val="000000" w:themeColor="text1"/>
          <w:sz w:val="40"/>
          <w:szCs w:val="24"/>
          <w:vertAlign w:val="subscript"/>
          <w:lang w:eastAsia="es-ES"/>
        </w:rPr>
        <w:t>2</w:t>
      </w:r>
      <w:r w:rsidRPr="004C114F">
        <w:rPr>
          <w:rFonts w:ascii="Times New Roman" w:eastAsia="Times New Roman" w:hAnsi="Times New Roman" w:cs="Times New Roman"/>
          <w:color w:val="000000" w:themeColor="text1"/>
          <w:sz w:val="40"/>
          <w:szCs w:val="24"/>
          <w:lang w:eastAsia="es-ES"/>
        </w:rPr>
        <w:t xml:space="preserve">) del aminoácido siguiente mediante </w:t>
      </w:r>
      <w:hyperlink r:id="rId31" w:tooltip="Enlace peptídico" w:history="1">
        <w:r w:rsidRPr="004C114F">
          <w:rPr>
            <w:rFonts w:ascii="Times New Roman" w:eastAsia="Times New Roman" w:hAnsi="Times New Roman" w:cs="Times New Roman"/>
            <w:color w:val="000000" w:themeColor="text1"/>
            <w:sz w:val="40"/>
            <w:szCs w:val="24"/>
            <w:lang w:eastAsia="es-ES"/>
          </w:rPr>
          <w:t>enlace peptídico</w:t>
        </w:r>
      </w:hyperlink>
      <w:r w:rsidRPr="004C114F">
        <w:rPr>
          <w:rFonts w:ascii="Times New Roman" w:eastAsia="Times New Roman" w:hAnsi="Times New Roman" w:cs="Times New Roman"/>
          <w:color w:val="000000" w:themeColor="text1"/>
          <w:sz w:val="40"/>
          <w:szCs w:val="24"/>
          <w:lang w:eastAsia="es-ES"/>
        </w:rPr>
        <w:t xml:space="preserve">. Esta unión es catalizada por la enzima </w:t>
      </w:r>
      <w:hyperlink r:id="rId32" w:tooltip="Peptidil transferasa" w:history="1">
        <w:r w:rsidRPr="004C114F">
          <w:rPr>
            <w:rFonts w:ascii="Times New Roman" w:eastAsia="Times New Roman" w:hAnsi="Times New Roman" w:cs="Times New Roman"/>
            <w:color w:val="000000" w:themeColor="text1"/>
            <w:sz w:val="40"/>
            <w:szCs w:val="24"/>
            <w:lang w:eastAsia="es-ES"/>
          </w:rPr>
          <w:t>peptidil transferasa</w:t>
        </w:r>
      </w:hyperlink>
      <w:r w:rsidRPr="004C114F">
        <w:rPr>
          <w:rFonts w:ascii="Times New Roman" w:eastAsia="Times New Roman" w:hAnsi="Times New Roman" w:cs="Times New Roman"/>
          <w:color w:val="000000" w:themeColor="text1"/>
          <w:sz w:val="40"/>
          <w:szCs w:val="24"/>
          <w:lang w:eastAsia="es-ES"/>
        </w:rPr>
        <w:t xml:space="preserve">. El centro P queda pues ocupado por un ARNt sin aminoácido. El ARNt sin aminoácido sale del ribosoma. Se produce la </w:t>
      </w:r>
      <w:r w:rsidRPr="004C114F">
        <w:rPr>
          <w:rFonts w:ascii="Times New Roman" w:eastAsia="Times New Roman" w:hAnsi="Times New Roman" w:cs="Times New Roman"/>
          <w:b/>
          <w:bCs/>
          <w:color w:val="000000" w:themeColor="text1"/>
          <w:sz w:val="40"/>
          <w:szCs w:val="24"/>
          <w:lang w:eastAsia="es-ES"/>
        </w:rPr>
        <w:t>translocación ribosomal</w:t>
      </w:r>
      <w:r w:rsidRPr="004C114F">
        <w:rPr>
          <w:rFonts w:ascii="Times New Roman" w:eastAsia="Times New Roman" w:hAnsi="Times New Roman" w:cs="Times New Roman"/>
          <w:color w:val="000000" w:themeColor="text1"/>
          <w:sz w:val="40"/>
          <w:szCs w:val="24"/>
          <w:lang w:eastAsia="es-ES"/>
        </w:rPr>
        <w:t xml:space="preserve">. El dipeptil-ARNt queda ahora en el centro P. Todo ello es catalizado por los factores de elongación (FE) y precisa </w:t>
      </w:r>
      <w:hyperlink r:id="rId33" w:tooltip="Guanosín trifosfato" w:history="1">
        <w:r w:rsidRPr="004C114F">
          <w:rPr>
            <w:rFonts w:ascii="Times New Roman" w:eastAsia="Times New Roman" w:hAnsi="Times New Roman" w:cs="Times New Roman"/>
            <w:color w:val="000000" w:themeColor="text1"/>
            <w:sz w:val="40"/>
            <w:szCs w:val="24"/>
            <w:lang w:eastAsia="es-ES"/>
          </w:rPr>
          <w:t>GTP</w:t>
        </w:r>
      </w:hyperlink>
      <w:r w:rsidRPr="004C114F">
        <w:rPr>
          <w:rFonts w:ascii="Times New Roman" w:eastAsia="Times New Roman" w:hAnsi="Times New Roman" w:cs="Times New Roman"/>
          <w:color w:val="000000" w:themeColor="text1"/>
          <w:sz w:val="40"/>
          <w:szCs w:val="24"/>
          <w:lang w:eastAsia="es-ES"/>
        </w:rPr>
        <w:t xml:space="preserve">. Según la terminación del tercer codón, aparece el tercer aminoacil-ARNt y ocupa el centro A. Luego se forma el tripéptido en A y posteriormente el ribosoma realiza su segunda translocación. Estos pasos se pueden repetir múltiples veces, hasta cientos de veces, según el número de aminoácidos que contenga el </w:t>
      </w:r>
      <w:hyperlink r:id="rId34" w:tooltip="Polipéptido" w:history="1">
        <w:r w:rsidRPr="004C114F">
          <w:rPr>
            <w:rFonts w:ascii="Times New Roman" w:eastAsia="Times New Roman" w:hAnsi="Times New Roman" w:cs="Times New Roman"/>
            <w:color w:val="000000" w:themeColor="text1"/>
            <w:sz w:val="40"/>
            <w:szCs w:val="24"/>
            <w:lang w:eastAsia="es-ES"/>
          </w:rPr>
          <w:t>polipéptido</w:t>
        </w:r>
      </w:hyperlink>
      <w:r w:rsidRPr="004C114F">
        <w:rPr>
          <w:rFonts w:ascii="Times New Roman" w:eastAsia="Times New Roman" w:hAnsi="Times New Roman" w:cs="Times New Roman"/>
          <w:color w:val="000000" w:themeColor="text1"/>
          <w:sz w:val="40"/>
          <w:szCs w:val="24"/>
          <w:lang w:eastAsia="es-ES"/>
        </w:rPr>
        <w:t>. La traslocación del ribosama implica el desplazamiento del ribosama a lo largo de ARNm en sentido 5'-&gt; 3'.</w:t>
      </w:r>
    </w:p>
    <w:p w:rsidR="004C114F" w:rsidRPr="004C114F" w:rsidRDefault="004C114F" w:rsidP="004C114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40"/>
          <w:szCs w:val="27"/>
          <w:lang w:eastAsia="es-ES"/>
        </w:rPr>
      </w:pPr>
    </w:p>
    <w:p w:rsidR="004C114F" w:rsidRPr="004C114F" w:rsidRDefault="004C114F" w:rsidP="004C114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40"/>
          <w:szCs w:val="27"/>
          <w:lang w:eastAsia="es-ES"/>
        </w:rPr>
      </w:pPr>
    </w:p>
    <w:p w:rsidR="004C114F" w:rsidRPr="004C114F" w:rsidRDefault="004C114F" w:rsidP="004C114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40"/>
          <w:szCs w:val="27"/>
          <w:lang w:eastAsia="es-ES"/>
        </w:rPr>
      </w:pPr>
    </w:p>
    <w:p w:rsidR="004C114F" w:rsidRPr="004C114F" w:rsidRDefault="004C114F" w:rsidP="004C114F">
      <w:pPr>
        <w:spacing w:before="100" w:beforeAutospacing="1" w:after="100" w:afterAutospacing="1" w:line="240" w:lineRule="auto"/>
        <w:jc w:val="both"/>
        <w:outlineLvl w:val="2"/>
        <w:rPr>
          <w:rFonts w:ascii="Times New Roman" w:eastAsia="Times New Roman" w:hAnsi="Times New Roman" w:cs="Times New Roman"/>
          <w:color w:val="000000" w:themeColor="text1"/>
          <w:sz w:val="40"/>
          <w:lang w:eastAsia="es-ES"/>
        </w:rPr>
      </w:pPr>
      <w:r w:rsidRPr="004C114F">
        <w:rPr>
          <w:rFonts w:ascii="Times New Roman" w:eastAsia="Times New Roman" w:hAnsi="Times New Roman" w:cs="Times New Roman"/>
          <w:b/>
          <w:bCs/>
          <w:color w:val="000000" w:themeColor="text1"/>
          <w:sz w:val="40"/>
          <w:szCs w:val="27"/>
          <w:lang w:eastAsia="es-ES"/>
        </w:rPr>
        <w:t>Terminación de la síntesis de la cadena polipeptídica</w:t>
      </w:r>
    </w:p>
    <w:p w:rsidR="004C114F" w:rsidRPr="004C114F" w:rsidRDefault="004C114F" w:rsidP="004C114F">
      <w:pPr>
        <w:spacing w:before="100" w:beforeAutospacing="1" w:after="100" w:afterAutospacing="1" w:line="240" w:lineRule="auto"/>
        <w:jc w:val="both"/>
        <w:outlineLvl w:val="2"/>
        <w:rPr>
          <w:rFonts w:ascii="Times New Roman" w:eastAsia="Times New Roman" w:hAnsi="Times New Roman" w:cs="Times New Roman"/>
          <w:color w:val="000000" w:themeColor="text1"/>
          <w:sz w:val="40"/>
          <w:szCs w:val="24"/>
          <w:lang w:eastAsia="es-ES"/>
        </w:rPr>
      </w:pPr>
      <w:r w:rsidRPr="004C114F">
        <w:rPr>
          <w:rFonts w:ascii="Times New Roman" w:eastAsia="Times New Roman" w:hAnsi="Times New Roman" w:cs="Times New Roman"/>
          <w:color w:val="000000" w:themeColor="text1"/>
          <w:sz w:val="40"/>
          <w:szCs w:val="24"/>
          <w:lang w:eastAsia="es-ES"/>
        </w:rPr>
        <w:t xml:space="preserve">El final de la síntesis se presenta por llamados </w:t>
      </w:r>
      <w:r w:rsidRPr="004C114F">
        <w:rPr>
          <w:rFonts w:ascii="Times New Roman" w:eastAsia="Times New Roman" w:hAnsi="Times New Roman" w:cs="Times New Roman"/>
          <w:b/>
          <w:bCs/>
          <w:color w:val="000000" w:themeColor="text1"/>
          <w:sz w:val="40"/>
          <w:szCs w:val="24"/>
          <w:lang w:eastAsia="es-ES"/>
        </w:rPr>
        <w:t>tripletes sin sentido</w:t>
      </w:r>
      <w:r w:rsidRPr="004C114F">
        <w:rPr>
          <w:rFonts w:ascii="Times New Roman" w:eastAsia="Times New Roman" w:hAnsi="Times New Roman" w:cs="Times New Roman"/>
          <w:color w:val="000000" w:themeColor="text1"/>
          <w:sz w:val="40"/>
          <w:szCs w:val="24"/>
          <w:lang w:eastAsia="es-ES"/>
        </w:rPr>
        <w:t xml:space="preserve">, también denominados </w:t>
      </w:r>
      <w:r w:rsidRPr="004C114F">
        <w:rPr>
          <w:rFonts w:ascii="Times New Roman" w:eastAsia="Times New Roman" w:hAnsi="Times New Roman" w:cs="Times New Roman"/>
          <w:b/>
          <w:bCs/>
          <w:color w:val="000000" w:themeColor="text1"/>
          <w:sz w:val="40"/>
          <w:szCs w:val="24"/>
          <w:lang w:eastAsia="es-ES"/>
        </w:rPr>
        <w:t>codones stop</w:t>
      </w:r>
      <w:r w:rsidRPr="004C114F">
        <w:rPr>
          <w:rFonts w:ascii="Times New Roman" w:eastAsia="Times New Roman" w:hAnsi="Times New Roman" w:cs="Times New Roman"/>
          <w:color w:val="000000" w:themeColor="text1"/>
          <w:sz w:val="40"/>
          <w:szCs w:val="24"/>
          <w:lang w:eastAsia="es-ES"/>
        </w:rPr>
        <w:t xml:space="preserve">. Son tres: UAA, UAG y UGA. No existe ningún ARNt cuyo anticodón sea complementario de ellos y, por lo tanto, la biosíntesis del polipéptido se interrumpe. Indican que la cadena polipeptídica ya ha terminado. Este proceso viene regulado por los factores de liberación, de naturaleza proteica, que se sitúan en el sitio A y hacen que la </w:t>
      </w:r>
      <w:hyperlink r:id="rId35" w:tooltip="Peptidil transferasa" w:history="1">
        <w:r w:rsidRPr="004C114F">
          <w:rPr>
            <w:rFonts w:ascii="Times New Roman" w:eastAsia="Times New Roman" w:hAnsi="Times New Roman" w:cs="Times New Roman"/>
            <w:color w:val="000000" w:themeColor="text1"/>
            <w:sz w:val="40"/>
            <w:szCs w:val="24"/>
            <w:lang w:eastAsia="es-ES"/>
          </w:rPr>
          <w:t>peptidil transferasa</w:t>
        </w:r>
      </w:hyperlink>
      <w:r w:rsidRPr="004C114F">
        <w:rPr>
          <w:rFonts w:ascii="Times New Roman" w:eastAsia="Times New Roman" w:hAnsi="Times New Roman" w:cs="Times New Roman"/>
          <w:color w:val="000000" w:themeColor="text1"/>
          <w:sz w:val="40"/>
          <w:szCs w:val="24"/>
          <w:lang w:eastAsia="es-ES"/>
        </w:rPr>
        <w:t xml:space="preserve"> separe, por hidrólisis, la cadena polipeptídica del ARNt. Un ARNm, si es lo suficientemente largo, puede ser leído o traducido, por varios ribosomas a la vez, uno detrás de otro. Al </w:t>
      </w:r>
      <w:hyperlink r:id="rId36" w:tooltip="Microscopio electrónico" w:history="1">
        <w:r w:rsidRPr="004C114F">
          <w:rPr>
            <w:rFonts w:ascii="Times New Roman" w:eastAsia="Times New Roman" w:hAnsi="Times New Roman" w:cs="Times New Roman"/>
            <w:color w:val="000000" w:themeColor="text1"/>
            <w:sz w:val="40"/>
            <w:szCs w:val="24"/>
            <w:lang w:eastAsia="es-ES"/>
          </w:rPr>
          <w:t>microscopio electrónico</w:t>
        </w:r>
      </w:hyperlink>
      <w:r w:rsidRPr="004C114F">
        <w:rPr>
          <w:rFonts w:ascii="Times New Roman" w:eastAsia="Times New Roman" w:hAnsi="Times New Roman" w:cs="Times New Roman"/>
          <w:color w:val="000000" w:themeColor="text1"/>
          <w:sz w:val="40"/>
          <w:szCs w:val="24"/>
          <w:lang w:eastAsia="es-ES"/>
        </w:rPr>
        <w:t xml:space="preserve">, se observa como un rosario de ribosomas, que se denomina </w:t>
      </w:r>
      <w:r w:rsidRPr="004C114F">
        <w:rPr>
          <w:rFonts w:ascii="Times New Roman" w:eastAsia="Times New Roman" w:hAnsi="Times New Roman" w:cs="Times New Roman"/>
          <w:b/>
          <w:bCs/>
          <w:color w:val="000000" w:themeColor="text1"/>
          <w:sz w:val="40"/>
          <w:szCs w:val="24"/>
          <w:lang w:eastAsia="es-ES"/>
        </w:rPr>
        <w:t>polirribosoma</w:t>
      </w:r>
      <w:r w:rsidRPr="004C114F">
        <w:rPr>
          <w:rFonts w:ascii="Times New Roman" w:eastAsia="Times New Roman" w:hAnsi="Times New Roman" w:cs="Times New Roman"/>
          <w:color w:val="000000" w:themeColor="text1"/>
          <w:sz w:val="40"/>
          <w:szCs w:val="24"/>
          <w:lang w:eastAsia="es-ES"/>
        </w:rPr>
        <w:t xml:space="preserve"> o </w:t>
      </w:r>
      <w:r w:rsidRPr="004C114F">
        <w:rPr>
          <w:rFonts w:ascii="Times New Roman" w:eastAsia="Times New Roman" w:hAnsi="Times New Roman" w:cs="Times New Roman"/>
          <w:b/>
          <w:bCs/>
          <w:color w:val="000000" w:themeColor="text1"/>
          <w:sz w:val="40"/>
          <w:szCs w:val="24"/>
          <w:lang w:eastAsia="es-ES"/>
        </w:rPr>
        <w:t>polisoma</w:t>
      </w:r>
      <w:r w:rsidRPr="004C114F">
        <w:rPr>
          <w:rFonts w:ascii="Times New Roman" w:eastAsia="Times New Roman" w:hAnsi="Times New Roman" w:cs="Times New Roman"/>
          <w:color w:val="000000" w:themeColor="text1"/>
          <w:sz w:val="40"/>
          <w:szCs w:val="24"/>
          <w:lang w:eastAsia="es-ES"/>
        </w:rPr>
        <w:t>.</w:t>
      </w:r>
    </w:p>
    <w:p w:rsidR="004C114F" w:rsidRDefault="004C114F" w:rsidP="004C114F">
      <w:pPr>
        <w:jc w:val="both"/>
        <w:rPr>
          <w:color w:val="000000" w:themeColor="text1"/>
        </w:rPr>
      </w:pPr>
    </w:p>
    <w:p w:rsidR="00F6470F" w:rsidRPr="004C114F" w:rsidRDefault="004C114F" w:rsidP="004C114F">
      <w:pPr>
        <w:tabs>
          <w:tab w:val="left" w:pos="7200"/>
        </w:tabs>
      </w:pPr>
      <w:r>
        <w:tab/>
      </w:r>
    </w:p>
    <w:sectPr w:rsidR="00F6470F" w:rsidRPr="004C114F" w:rsidSect="00F6470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96315"/>
    <w:multiLevelType w:val="multilevel"/>
    <w:tmpl w:val="D0F4A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421A90"/>
    <w:multiLevelType w:val="multilevel"/>
    <w:tmpl w:val="8BAE3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114F"/>
    <w:rsid w:val="004C114F"/>
    <w:rsid w:val="00F6470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11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14F"/>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denina" TargetMode="External"/><Relationship Id="rId13" Type="http://schemas.openxmlformats.org/officeDocument/2006/relationships/hyperlink" Target="http://es.wikipedia.org/wiki/Cod%C3%B3n" TargetMode="External"/><Relationship Id="rId18" Type="http://schemas.openxmlformats.org/officeDocument/2006/relationships/hyperlink" Target="http://es.wikipedia.org/wiki/ARN_de_transferencia" TargetMode="External"/><Relationship Id="rId26" Type="http://schemas.openxmlformats.org/officeDocument/2006/relationships/hyperlink" Target="http://es.wikipedia.org/wiki/S%C3%ADntesis_proteica" TargetMode="External"/><Relationship Id="rId3" Type="http://schemas.openxmlformats.org/officeDocument/2006/relationships/settings" Target="settings.xml"/><Relationship Id="rId21" Type="http://schemas.openxmlformats.org/officeDocument/2006/relationships/hyperlink" Target="http://es.wikipedia.org/wiki/ARNt" TargetMode="External"/><Relationship Id="rId34" Type="http://schemas.openxmlformats.org/officeDocument/2006/relationships/hyperlink" Target="http://es.wikipedia.org/wiki/Polip%C3%A9ptido" TargetMode="External"/><Relationship Id="rId7" Type="http://schemas.openxmlformats.org/officeDocument/2006/relationships/hyperlink" Target="http://es.wikipedia.org/wiki/ARN" TargetMode="External"/><Relationship Id="rId12" Type="http://schemas.openxmlformats.org/officeDocument/2006/relationships/hyperlink" Target="http://es.wikipedia.org/wiki/Nucle%C3%B3tido" TargetMode="External"/><Relationship Id="rId17" Type="http://schemas.openxmlformats.org/officeDocument/2006/relationships/hyperlink" Target="http://es.wikipedia.org/wiki/Citoplasma" TargetMode="External"/><Relationship Id="rId25" Type="http://schemas.openxmlformats.org/officeDocument/2006/relationships/hyperlink" Target="http://es.wikipedia.org/wiki/S%C3%ADntesis_proteica" TargetMode="External"/><Relationship Id="rId33" Type="http://schemas.openxmlformats.org/officeDocument/2006/relationships/hyperlink" Target="http://es.wikipedia.org/wiki/Guanos%C3%ADn_trifosfato"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wikipedia.org/wiki/Ribosoma" TargetMode="External"/><Relationship Id="rId20" Type="http://schemas.openxmlformats.org/officeDocument/2006/relationships/hyperlink" Target="http://es.wikipedia.org/wiki/Enzima" TargetMode="External"/><Relationship Id="rId29" Type="http://schemas.openxmlformats.org/officeDocument/2006/relationships/hyperlink" Target="http://es.wikipedia.org/wiki/Eucariota" TargetMode="External"/><Relationship Id="rId1" Type="http://schemas.openxmlformats.org/officeDocument/2006/relationships/numbering" Target="numbering.xml"/><Relationship Id="rId6" Type="http://schemas.openxmlformats.org/officeDocument/2006/relationships/hyperlink" Target="http://es.wikipedia.org/wiki/Transcripci%C3%B3n_del_ADN" TargetMode="External"/><Relationship Id="rId11" Type="http://schemas.openxmlformats.org/officeDocument/2006/relationships/hyperlink" Target="http://es.wikipedia.org/wiki/Guanina" TargetMode="External"/><Relationship Id="rId24" Type="http://schemas.openxmlformats.org/officeDocument/2006/relationships/hyperlink" Target="http://es.wikipedia.org/wiki/S%C3%ADntesis_proteica" TargetMode="External"/><Relationship Id="rId32" Type="http://schemas.openxmlformats.org/officeDocument/2006/relationships/hyperlink" Target="http://es.wikipedia.org/wiki/Peptidil_transferasa" TargetMode="External"/><Relationship Id="rId37" Type="http://schemas.openxmlformats.org/officeDocument/2006/relationships/fontTable" Target="fontTable.xml"/><Relationship Id="rId5" Type="http://schemas.openxmlformats.org/officeDocument/2006/relationships/hyperlink" Target="http://es.wikipedia.org/wiki/Prote%C3%ADna" TargetMode="External"/><Relationship Id="rId15" Type="http://schemas.openxmlformats.org/officeDocument/2006/relationships/hyperlink" Target="http://es.wikipedia.org/wiki/Cadena_polipept%C3%ADdica" TargetMode="External"/><Relationship Id="rId23" Type="http://schemas.openxmlformats.org/officeDocument/2006/relationships/hyperlink" Target="http://es.wikipedia.org/wiki/S%C3%ADntesis_proteica" TargetMode="External"/><Relationship Id="rId28" Type="http://schemas.openxmlformats.org/officeDocument/2006/relationships/hyperlink" Target="http://es.wikipedia.org/wiki/Metionina" TargetMode="External"/><Relationship Id="rId36" Type="http://schemas.openxmlformats.org/officeDocument/2006/relationships/hyperlink" Target="http://es.wikipedia.org/wiki/Microscopio_electr%C3%B3nico" TargetMode="External"/><Relationship Id="rId10" Type="http://schemas.openxmlformats.org/officeDocument/2006/relationships/hyperlink" Target="http://es.wikipedia.org/wiki/Citosina" TargetMode="External"/><Relationship Id="rId19" Type="http://schemas.openxmlformats.org/officeDocument/2006/relationships/hyperlink" Target="http://es.wikipedia.org/wiki/ARN_mensajero" TargetMode="External"/><Relationship Id="rId31" Type="http://schemas.openxmlformats.org/officeDocument/2006/relationships/hyperlink" Target="http://es.wikipedia.org/wiki/Enlace_pept%C3%ADdico" TargetMode="External"/><Relationship Id="rId4" Type="http://schemas.openxmlformats.org/officeDocument/2006/relationships/webSettings" Target="webSettings.xml"/><Relationship Id="rId9" Type="http://schemas.openxmlformats.org/officeDocument/2006/relationships/hyperlink" Target="http://es.wikipedia.org/wiki/Uracilo" TargetMode="External"/><Relationship Id="rId14" Type="http://schemas.openxmlformats.org/officeDocument/2006/relationships/hyperlink" Target="http://es.wikipedia.org/wiki/Severo_Ochoa" TargetMode="External"/><Relationship Id="rId22" Type="http://schemas.openxmlformats.org/officeDocument/2006/relationships/hyperlink" Target="http://es.wikipedia.org/wiki/S%C3%ADntesis_proteica" TargetMode="External"/><Relationship Id="rId27" Type="http://schemas.openxmlformats.org/officeDocument/2006/relationships/hyperlink" Target="http://es.wikipedia.org/wiki/Ribosoma" TargetMode="External"/><Relationship Id="rId30" Type="http://schemas.openxmlformats.org/officeDocument/2006/relationships/hyperlink" Target="http://es.wikipedia.org/wiki/Procariota" TargetMode="External"/><Relationship Id="rId35" Type="http://schemas.openxmlformats.org/officeDocument/2006/relationships/hyperlink" Target="http://es.wikipedia.org/wiki/Peptidil_transfera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1212</Words>
  <Characters>6671</Characters>
  <Application>Microsoft Office Word</Application>
  <DocSecurity>0</DocSecurity>
  <Lines>55</Lines>
  <Paragraphs>15</Paragraphs>
  <ScaleCrop>false</ScaleCrop>
  <Company>Home</Company>
  <LinksUpToDate>false</LinksUpToDate>
  <CharactersWithSpaces>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2009-10-11T18:56:00Z</dcterms:created>
  <dcterms:modified xsi:type="dcterms:W3CDTF">2009-10-11T18:59:00Z</dcterms:modified>
</cp:coreProperties>
</file>