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81"/>
        <w:tblW w:w="11325" w:type="dxa"/>
        <w:tblCellSpacing w:w="0" w:type="dxa"/>
        <w:tblCellMar>
          <w:top w:w="120" w:type="dxa"/>
          <w:left w:w="120" w:type="dxa"/>
          <w:bottom w:w="120" w:type="dxa"/>
          <w:right w:w="120" w:type="dxa"/>
        </w:tblCellMar>
        <w:tblLook w:val="04A0"/>
      </w:tblPr>
      <w:tblGrid>
        <w:gridCol w:w="1701"/>
        <w:gridCol w:w="4770"/>
        <w:gridCol w:w="300"/>
        <w:gridCol w:w="4554"/>
      </w:tblGrid>
      <w:tr w:rsidR="001E4014" w:rsidRPr="001E4014" w:rsidTr="001E4014">
        <w:trPr>
          <w:gridAfter w:val="1"/>
          <w:wAfter w:w="4550" w:type="dxa"/>
          <w:trHeight w:val="900"/>
          <w:tblCellSpacing w:w="0" w:type="dxa"/>
        </w:trPr>
        <w:tc>
          <w:tcPr>
            <w:tcW w:w="1702" w:type="dxa"/>
            <w:vMerge w:val="restart"/>
            <w:shd w:val="clear" w:color="auto" w:fill="FDE9A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Verdana" w:eastAsia="Times New Roman" w:hAnsi="Verdana" w:cs="Times New Roman"/>
                <w:b/>
                <w:bCs/>
                <w:color w:val="003366"/>
                <w:sz w:val="27"/>
                <w:szCs w:val="27"/>
                <w:lang w:eastAsia="es-ES"/>
              </w:rPr>
              <w:t xml:space="preserve">La invención de la </w:t>
            </w:r>
            <w:r w:rsidRPr="001E4014">
              <w:rPr>
                <w:rFonts w:ascii="Verdana" w:eastAsia="Times New Roman" w:hAnsi="Verdana" w:cs="Times New Roman"/>
                <w:b/>
                <w:bCs/>
                <w:color w:val="000000"/>
                <w:sz w:val="27"/>
                <w:lang w:eastAsia="es-ES"/>
              </w:rPr>
              <w:t>escritura</w:t>
            </w:r>
            <w:r w:rsidRPr="001E4014">
              <w:rPr>
                <w:rFonts w:ascii="Verdana" w:eastAsia="Times New Roman" w:hAnsi="Verdana" w:cs="Times New Roman"/>
                <w:b/>
                <w:bCs/>
                <w:color w:val="003366"/>
                <w:sz w:val="27"/>
                <w:szCs w:val="27"/>
                <w:lang w:eastAsia="es-ES"/>
              </w:rPr>
              <w:t xml:space="preserve"> </w:t>
            </w:r>
          </w:p>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pict>
                <v:rect id="_x0000_i1025" style="width:0;height:1.5pt" o:hralign="center" o:hrstd="t" o:hr="t" fillcolor="#aca899" stroked="f"/>
              </w:pict>
            </w:r>
          </w:p>
          <w:p w:rsidR="001E4014" w:rsidRPr="001E4014" w:rsidRDefault="001E4014" w:rsidP="001E4014">
            <w:pPr>
              <w:spacing w:before="100" w:beforeAutospacing="1" w:after="100" w:afterAutospacing="1"/>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gridSpan w:val="2"/>
            <w:shd w:val="clear" w:color="auto" w:fill="FDE9AE"/>
            <w:hideMark/>
          </w:tcPr>
          <w:tbl>
            <w:tblPr>
              <w:tblpPr w:leftFromText="45" w:rightFromText="45" w:vertAnchor="text" w:tblpXSpec="right" w:tblpYSpec="center"/>
              <w:tblW w:w="4500" w:type="dxa"/>
              <w:tblCellSpacing w:w="0" w:type="dxa"/>
              <w:tblCellMar>
                <w:left w:w="0" w:type="dxa"/>
                <w:right w:w="0" w:type="dxa"/>
              </w:tblCellMar>
              <w:tblLook w:val="04A0"/>
            </w:tblPr>
            <w:tblGrid>
              <w:gridCol w:w="1500"/>
              <w:gridCol w:w="1500"/>
              <w:gridCol w:w="1500"/>
            </w:tblGrid>
            <w:tr w:rsidR="001E4014" w:rsidRPr="001E4014">
              <w:trPr>
                <w:tblCellSpacing w:w="0" w:type="dxa"/>
              </w:trPr>
              <w:tc>
                <w:tcPr>
                  <w:tcW w:w="0" w:type="auto"/>
                  <w:shd w:val="clear" w:color="auto" w:fill="FFCC33"/>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shd w:val="clear" w:color="auto" w:fill="FFCC33"/>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shd w:val="clear" w:color="auto" w:fill="FFCC33"/>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r>
            <w:tr w:rsidR="001E4014" w:rsidRPr="001E4014">
              <w:trPr>
                <w:tblCellSpacing w:w="0" w:type="dxa"/>
              </w:trPr>
              <w:tc>
                <w:tcPr>
                  <w:tcW w:w="0" w:type="auto"/>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r>
            <w:tr w:rsidR="001E4014" w:rsidRPr="001E4014">
              <w:trPr>
                <w:tblCellSpacing w:w="0" w:type="dxa"/>
              </w:trPr>
              <w:tc>
                <w:tcPr>
                  <w:tcW w:w="0" w:type="auto"/>
                  <w:shd w:val="clear" w:color="auto" w:fill="990000"/>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shd w:val="clear" w:color="auto" w:fill="990000"/>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shd w:val="clear" w:color="auto" w:fill="990000"/>
                  <w:vAlign w:val="center"/>
                  <w:hideMark/>
                </w:tcPr>
                <w:p w:rsidR="001E4014" w:rsidRPr="001E4014" w:rsidRDefault="001E4014" w:rsidP="001E4014">
                  <w:pPr>
                    <w:jc w:val="cente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xml:space="preserve">  </w:t>
                  </w:r>
                </w:p>
              </w:tc>
            </w:tr>
          </w:tbl>
          <w:p w:rsidR="001E4014" w:rsidRPr="001E4014" w:rsidRDefault="001E4014" w:rsidP="001E4014">
            <w:pPr>
              <w:rPr>
                <w:rFonts w:ascii="Times New Roman" w:eastAsia="Times New Roman" w:hAnsi="Times New Roman" w:cs="Times New Roman"/>
                <w:color w:val="000000"/>
                <w:sz w:val="24"/>
                <w:szCs w:val="24"/>
                <w:lang w:eastAsia="es-ES"/>
              </w:rPr>
            </w:pPr>
          </w:p>
        </w:tc>
      </w:tr>
      <w:tr w:rsidR="001E4014" w:rsidRPr="001E4014" w:rsidTr="001E4014">
        <w:trPr>
          <w:gridAfter w:val="1"/>
          <w:wAfter w:w="4550" w:type="dxa"/>
          <w:trHeight w:val="465"/>
          <w:tblCellSpacing w:w="0" w:type="dxa"/>
        </w:trPr>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4770" w:type="dxa"/>
            <w:shd w:val="clear" w:color="auto" w:fill="FDE9A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303" w:type="dxa"/>
            <w:shd w:val="clear" w:color="auto" w:fill="FDE9A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r>
      <w:tr w:rsidR="001E4014" w:rsidRPr="001E4014" w:rsidTr="001E4014">
        <w:trPr>
          <w:trHeight w:val="3735"/>
          <w:tblCellSpacing w:w="0" w:type="dxa"/>
        </w:trPr>
        <w:tc>
          <w:tcPr>
            <w:tcW w:w="1702" w:type="dxa"/>
            <w:vMerge w:val="restart"/>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666750" cy="3381375"/>
                  <wp:effectExtent l="19050" t="0" r="0" b="0"/>
                  <wp:docPr id="2" name="Imagen 2" descr="http://sepiensa.org.mx/contenidos/historia_mundo/antigua/img_ant/ant_baseagu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iensa.org.mx/contenidos/historia_mundo/antigua/img_ant/ant_baseagua.gif"/>
                          <pic:cNvPicPr>
                            <a:picLocks noChangeAspect="1" noChangeArrowheads="1"/>
                          </pic:cNvPicPr>
                        </pic:nvPicPr>
                        <pic:blipFill>
                          <a:blip r:embed="rId4"/>
                          <a:srcRect/>
                          <a:stretch>
                            <a:fillRect/>
                          </a:stretch>
                        </pic:blipFill>
                        <pic:spPr bwMode="auto">
                          <a:xfrm>
                            <a:off x="0" y="0"/>
                            <a:ext cx="666750" cy="3381375"/>
                          </a:xfrm>
                          <a:prstGeom prst="rect">
                            <a:avLst/>
                          </a:prstGeom>
                          <a:noFill/>
                          <a:ln w="9525">
                            <a:noFill/>
                            <a:miter lim="800000"/>
                            <a:headEnd/>
                            <a:tailEnd/>
                          </a:ln>
                        </pic:spPr>
                      </pic:pic>
                    </a:graphicData>
                  </a:graphic>
                </wp:inline>
              </w:drawing>
            </w:r>
          </w:p>
        </w:tc>
        <w:tc>
          <w:tcPr>
            <w:tcW w:w="0" w:type="auto"/>
            <w:vMerge w:val="restart"/>
            <w:shd w:val="clear" w:color="auto" w:fill="FFCC33"/>
            <w:vAlign w:val="center"/>
            <w:hideMark/>
          </w:tcPr>
          <w:p w:rsidR="001E4014" w:rsidRPr="001E4014" w:rsidRDefault="001E4014" w:rsidP="001E4014">
            <w:pPr>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857500" cy="4762500"/>
                  <wp:effectExtent l="19050" t="0" r="0" b="0"/>
                  <wp:docPr id="3" name="Imagen 3" descr="http://sepiensa.org.mx/contenidos/historia_mundo/antigua/mesopotamia/escritura/img/mes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iensa.org.mx/contenidos/historia_mundo/antigua/mesopotamia/escritura/img/meso_1.jpg"/>
                          <pic:cNvPicPr>
                            <a:picLocks noChangeAspect="1" noChangeArrowheads="1"/>
                          </pic:cNvPicPr>
                        </pic:nvPicPr>
                        <pic:blipFill>
                          <a:blip r:embed="rId5"/>
                          <a:srcRect/>
                          <a:stretch>
                            <a:fillRect/>
                          </a:stretch>
                        </pic:blipFill>
                        <pic:spPr bwMode="auto">
                          <a:xfrm>
                            <a:off x="0" y="0"/>
                            <a:ext cx="2857500" cy="4762500"/>
                          </a:xfrm>
                          <a:prstGeom prst="rect">
                            <a:avLst/>
                          </a:prstGeom>
                          <a:noFill/>
                          <a:ln w="9525">
                            <a:noFill/>
                            <a:miter lim="800000"/>
                            <a:headEnd/>
                            <a:tailEnd/>
                          </a:ln>
                        </pic:spPr>
                      </pic:pic>
                    </a:graphicData>
                  </a:graphic>
                </wp:inline>
              </w:drawing>
            </w:r>
          </w:p>
        </w:tc>
        <w:tc>
          <w:tcPr>
            <w:tcW w:w="303" w:type="dxa"/>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0" w:type="auto"/>
            <w:shd w:val="clear" w:color="auto" w:fill="990000"/>
            <w:vAlign w:val="center"/>
            <w:hideMark/>
          </w:tcPr>
          <w:p w:rsidR="001E4014" w:rsidRPr="001E4014" w:rsidRDefault="001E4014" w:rsidP="001E4014">
            <w:pPr>
              <w:spacing w:before="100" w:beforeAutospacing="1" w:after="100" w:afterAutospacing="1"/>
              <w:rPr>
                <w:rFonts w:ascii="Times New Roman" w:eastAsia="Times New Roman" w:hAnsi="Times New Roman" w:cs="Times New Roman"/>
                <w:color w:val="000000"/>
                <w:sz w:val="24"/>
                <w:szCs w:val="24"/>
                <w:lang w:eastAsia="es-ES"/>
              </w:rPr>
            </w:pPr>
            <w:r w:rsidRPr="001E4014">
              <w:rPr>
                <w:rFonts w:ascii="Arial" w:eastAsia="Times New Roman" w:hAnsi="Arial" w:cs="Arial"/>
                <w:b/>
                <w:bCs/>
                <w:color w:val="FDE9AE"/>
                <w:sz w:val="24"/>
                <w:szCs w:val="24"/>
                <w:lang w:eastAsia="es-ES"/>
              </w:rPr>
              <w:t>¿</w:t>
            </w:r>
            <w:proofErr w:type="gramStart"/>
            <w:r w:rsidRPr="001E4014">
              <w:rPr>
                <w:rFonts w:ascii="Arial" w:eastAsia="Times New Roman" w:hAnsi="Arial" w:cs="Arial"/>
                <w:b/>
                <w:bCs/>
                <w:color w:val="FDE9AE"/>
                <w:sz w:val="24"/>
                <w:szCs w:val="24"/>
                <w:lang w:eastAsia="es-ES"/>
              </w:rPr>
              <w:t>Porqué</w:t>
            </w:r>
            <w:proofErr w:type="gramEnd"/>
            <w:r w:rsidRPr="001E4014">
              <w:rPr>
                <w:rFonts w:ascii="Arial" w:eastAsia="Times New Roman" w:hAnsi="Arial" w:cs="Arial"/>
                <w:b/>
                <w:bCs/>
                <w:color w:val="FDE9AE"/>
                <w:sz w:val="24"/>
                <w:szCs w:val="24"/>
                <w:lang w:eastAsia="es-ES"/>
              </w:rPr>
              <w:t xml:space="preserve"> se inventó?</w:t>
            </w:r>
          </w:p>
          <w:p w:rsidR="001E4014" w:rsidRPr="001E4014" w:rsidRDefault="001E4014" w:rsidP="001E4014">
            <w:pPr>
              <w:spacing w:before="100" w:beforeAutospacing="1" w:after="100" w:afterAutospacing="1"/>
              <w:jc w:val="right"/>
              <w:rPr>
                <w:rFonts w:ascii="Times New Roman" w:eastAsia="Times New Roman" w:hAnsi="Times New Roman" w:cs="Times New Roman"/>
                <w:color w:val="000000"/>
                <w:sz w:val="24"/>
                <w:szCs w:val="24"/>
                <w:lang w:eastAsia="es-ES"/>
              </w:rPr>
            </w:pPr>
            <w:r w:rsidRPr="001E4014">
              <w:rPr>
                <w:rFonts w:ascii="Arial" w:eastAsia="Times New Roman" w:hAnsi="Arial" w:cs="Arial"/>
                <w:color w:val="FFCC33"/>
                <w:sz w:val="20"/>
                <w:szCs w:val="20"/>
                <w:lang w:eastAsia="es-ES"/>
              </w:rPr>
              <w:t xml:space="preserve">La invención de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nació de la necesidad práctica de registrar inventarios. Los primeros rastros de sumerio escrito datan del año 3100 a. de N.E. y son marcas en pequeñas tabletas de arcilla que se sujetaban como etiquetas a los objetos que nombraban. Los sumerios ricos que poseían grandes depósitos de grano y rebaños de ganado usaban tabletas grandes, inscritas con pictografías en columnas para sus cuentas.</w:t>
            </w:r>
          </w:p>
        </w:tc>
      </w:tr>
      <w:tr w:rsidR="001E4014" w:rsidRPr="001E4014" w:rsidTr="001E4014">
        <w:trPr>
          <w:trHeight w:val="150"/>
          <w:tblCellSpacing w:w="0" w:type="dxa"/>
        </w:trPr>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303" w:type="dxa"/>
            <w:vAlign w:val="center"/>
            <w:hideMark/>
          </w:tcPr>
          <w:p w:rsidR="001E4014" w:rsidRPr="001E4014" w:rsidRDefault="001E4014" w:rsidP="001E4014">
            <w:pPr>
              <w:rPr>
                <w:rFonts w:ascii="Times New Roman" w:eastAsia="Times New Roman" w:hAnsi="Times New Roman" w:cs="Times New Roman"/>
                <w:color w:val="000000"/>
                <w:sz w:val="16"/>
                <w:szCs w:val="24"/>
                <w:lang w:eastAsia="es-ES"/>
              </w:rPr>
            </w:pPr>
          </w:p>
        </w:tc>
        <w:tc>
          <w:tcPr>
            <w:tcW w:w="0" w:type="auto"/>
            <w:shd w:val="clear" w:color="auto" w:fill="990000"/>
            <w:vAlign w:val="center"/>
            <w:hideMark/>
          </w:tcPr>
          <w:p w:rsidR="001E4014" w:rsidRPr="001E4014" w:rsidRDefault="001E4014" w:rsidP="001E4014">
            <w:pPr>
              <w:spacing w:before="100" w:beforeAutospacing="1" w:after="100" w:afterAutospacing="1"/>
              <w:rPr>
                <w:rFonts w:ascii="Times New Roman" w:eastAsia="Times New Roman" w:hAnsi="Times New Roman" w:cs="Times New Roman"/>
                <w:color w:val="000000"/>
                <w:sz w:val="24"/>
                <w:szCs w:val="24"/>
                <w:lang w:eastAsia="es-ES"/>
              </w:rPr>
            </w:pPr>
            <w:r w:rsidRPr="001E4014">
              <w:rPr>
                <w:rFonts w:ascii="Arial" w:eastAsia="Times New Roman" w:hAnsi="Arial" w:cs="Arial"/>
                <w:b/>
                <w:bCs/>
                <w:color w:val="FDE9AE"/>
                <w:sz w:val="24"/>
                <w:szCs w:val="24"/>
                <w:lang w:eastAsia="es-ES"/>
              </w:rPr>
              <w:t xml:space="preserve">Pictografías y </w:t>
            </w:r>
            <w:r w:rsidRPr="001E4014">
              <w:rPr>
                <w:rFonts w:ascii="Arial" w:eastAsia="Times New Roman" w:hAnsi="Arial" w:cs="Arial"/>
                <w:b/>
                <w:bCs/>
                <w:color w:val="000000"/>
                <w:sz w:val="24"/>
                <w:szCs w:val="24"/>
                <w:lang w:eastAsia="es-ES"/>
              </w:rPr>
              <w:t>escritura</w:t>
            </w:r>
            <w:r w:rsidRPr="001E4014">
              <w:rPr>
                <w:rFonts w:ascii="Arial" w:eastAsia="Times New Roman" w:hAnsi="Arial" w:cs="Arial"/>
                <w:b/>
                <w:bCs/>
                <w:color w:val="FDE9AE"/>
                <w:sz w:val="24"/>
                <w:szCs w:val="24"/>
                <w:lang w:eastAsia="es-ES"/>
              </w:rPr>
              <w:t xml:space="preserve"> cuneiforme</w:t>
            </w:r>
          </w:p>
          <w:p w:rsidR="001E4014" w:rsidRPr="001E4014" w:rsidRDefault="001E4014" w:rsidP="001E4014">
            <w:pPr>
              <w:spacing w:before="100" w:beforeAutospacing="1" w:after="100" w:afterAutospacing="1" w:line="150" w:lineRule="atLeast"/>
              <w:jc w:val="right"/>
              <w:rPr>
                <w:rFonts w:ascii="Times New Roman" w:eastAsia="Times New Roman" w:hAnsi="Times New Roman" w:cs="Times New Roman"/>
                <w:color w:val="000000"/>
                <w:sz w:val="24"/>
                <w:szCs w:val="24"/>
                <w:lang w:eastAsia="es-ES"/>
              </w:rPr>
            </w:pPr>
            <w:r w:rsidRPr="001E4014">
              <w:rPr>
                <w:rFonts w:ascii="Arial" w:eastAsia="Times New Roman" w:hAnsi="Arial" w:cs="Arial"/>
                <w:color w:val="FFCC33"/>
                <w:sz w:val="20"/>
                <w:szCs w:val="20"/>
                <w:lang w:eastAsia="es-ES"/>
              </w:rPr>
              <w:t xml:space="preserve">Las primeras palabras escritas fueron dibujos simplificados que se conocen como pictografías. Estos signos se trazaban sobre arcilla húmeda con una caña de punta afilada. Sin embargo, este estilo puntiagudo no perduró porque dejaba bordes irregulares en la arcilla. En su lugar, se usó el estilo con punta triangular, que se oprimía sobre la arcilla, dejando una serie de impresiones con forma de cuña, de ahí que a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de Mesopotamia se le llame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cuneiforme (“en forma de cuña”). Asimismo, además de la arcilla, comenzaron a usarse otros materiales para escribir sobre ellos, como la piedra, vasijas de barro y en paneles revestidos de cera. </w:t>
            </w:r>
          </w:p>
        </w:tc>
      </w:tr>
      <w:tr w:rsidR="001E4014" w:rsidRPr="001E4014" w:rsidTr="001E4014">
        <w:trPr>
          <w:trHeight w:val="210"/>
          <w:tblCellSpacing w:w="0" w:type="dxa"/>
        </w:trPr>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0" w:type="auto"/>
            <w:shd w:val="clear" w:color="auto" w:fill="990000"/>
            <w:hideMark/>
          </w:tcPr>
          <w:p w:rsidR="001E4014" w:rsidRPr="001E4014" w:rsidRDefault="001E4014" w:rsidP="001E4014">
            <w:pPr>
              <w:spacing w:line="210" w:lineRule="atLeast"/>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hideMark/>
          </w:tcPr>
          <w:p w:rsidR="001E4014" w:rsidRPr="001E4014" w:rsidRDefault="001E4014" w:rsidP="001E4014">
            <w:pPr>
              <w:spacing w:line="210" w:lineRule="atLeast"/>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shd w:val="clear" w:color="auto" w:fill="FFCC33"/>
            <w:hideMark/>
          </w:tcPr>
          <w:p w:rsidR="001E4014" w:rsidRPr="001E4014" w:rsidRDefault="001E4014" w:rsidP="001E4014">
            <w:pPr>
              <w:spacing w:line="210" w:lineRule="atLeast"/>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r>
      <w:tr w:rsidR="001E4014" w:rsidRPr="001E4014" w:rsidTr="001E4014">
        <w:trPr>
          <w:trHeight w:val="6240"/>
          <w:tblCellSpacing w:w="0" w:type="dxa"/>
        </w:trPr>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4770" w:type="dxa"/>
            <w:shd w:val="clear" w:color="auto" w:fill="FFCC33"/>
            <w:vAlign w:val="center"/>
            <w:hideMark/>
          </w:tcPr>
          <w:p w:rsidR="001E4014" w:rsidRPr="001E4014" w:rsidRDefault="001E4014" w:rsidP="001E4014">
            <w:pPr>
              <w:spacing w:before="100" w:beforeAutospacing="1" w:after="100" w:afterAutospacing="1"/>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857500" cy="4352925"/>
                  <wp:effectExtent l="19050" t="0" r="0" b="0"/>
                  <wp:docPr id="4" name="Imagen 4" descr="http://sepiensa.org.mx/contenidos/historia_mundo/antigua/mesopotamia/escritura/img/mes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iensa.org.mx/contenidos/historia_mundo/antigua/mesopotamia/escritura/img/meso_3.jpg"/>
                          <pic:cNvPicPr>
                            <a:picLocks noChangeAspect="1" noChangeArrowheads="1"/>
                          </pic:cNvPicPr>
                        </pic:nvPicPr>
                        <pic:blipFill>
                          <a:blip r:embed="rId6"/>
                          <a:srcRect/>
                          <a:stretch>
                            <a:fillRect/>
                          </a:stretch>
                        </pic:blipFill>
                        <pic:spPr bwMode="auto">
                          <a:xfrm>
                            <a:off x="0" y="0"/>
                            <a:ext cx="2857500" cy="4352925"/>
                          </a:xfrm>
                          <a:prstGeom prst="rect">
                            <a:avLst/>
                          </a:prstGeom>
                          <a:noFill/>
                          <a:ln w="9525">
                            <a:noFill/>
                            <a:miter lim="800000"/>
                            <a:headEnd/>
                            <a:tailEnd/>
                          </a:ln>
                        </pic:spPr>
                      </pic:pic>
                    </a:graphicData>
                  </a:graphic>
                </wp:inline>
              </w:drawing>
            </w:r>
          </w:p>
        </w:tc>
        <w:tc>
          <w:tcPr>
            <w:tcW w:w="303" w:type="dxa"/>
            <w:vMerge w:val="restart"/>
            <w:hideMark/>
          </w:tcPr>
          <w:p w:rsidR="001E4014" w:rsidRPr="001E4014" w:rsidRDefault="001E4014" w:rsidP="001E4014">
            <w:pPr>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4550" w:type="dxa"/>
            <w:shd w:val="clear" w:color="auto" w:fill="990000"/>
            <w:vAlign w:val="center"/>
            <w:hideMark/>
          </w:tcPr>
          <w:p w:rsidR="001E4014" w:rsidRPr="001E4014" w:rsidRDefault="001E4014" w:rsidP="001E4014">
            <w:pPr>
              <w:spacing w:before="100" w:beforeAutospacing="1" w:after="100" w:afterAutospacing="1"/>
              <w:rPr>
                <w:rFonts w:ascii="Times New Roman" w:eastAsia="Times New Roman" w:hAnsi="Times New Roman" w:cs="Times New Roman"/>
                <w:color w:val="000000"/>
                <w:sz w:val="24"/>
                <w:szCs w:val="24"/>
                <w:lang w:eastAsia="es-ES"/>
              </w:rPr>
            </w:pPr>
            <w:r w:rsidRPr="001E4014">
              <w:rPr>
                <w:rFonts w:ascii="Arial" w:eastAsia="Times New Roman" w:hAnsi="Arial" w:cs="Arial"/>
                <w:b/>
                <w:bCs/>
                <w:color w:val="FDE9AE"/>
                <w:sz w:val="24"/>
                <w:szCs w:val="24"/>
                <w:lang w:eastAsia="es-ES"/>
              </w:rPr>
              <w:t xml:space="preserve">Los escribas </w:t>
            </w:r>
          </w:p>
          <w:p w:rsidR="001E4014" w:rsidRPr="001E4014" w:rsidRDefault="001E4014" w:rsidP="001E4014">
            <w:pPr>
              <w:spacing w:before="100" w:beforeAutospacing="1" w:after="100" w:afterAutospacing="1"/>
              <w:jc w:val="right"/>
              <w:rPr>
                <w:rFonts w:ascii="Times New Roman" w:eastAsia="Times New Roman" w:hAnsi="Times New Roman" w:cs="Times New Roman"/>
                <w:color w:val="000000"/>
                <w:sz w:val="24"/>
                <w:szCs w:val="24"/>
                <w:lang w:eastAsia="es-ES"/>
              </w:rPr>
            </w:pPr>
            <w:r w:rsidRPr="001E4014">
              <w:rPr>
                <w:rFonts w:ascii="Arial" w:eastAsia="Times New Roman" w:hAnsi="Arial" w:cs="Arial"/>
                <w:color w:val="FFCC33"/>
                <w:sz w:val="20"/>
                <w:szCs w:val="20"/>
                <w:lang w:eastAsia="es-ES"/>
              </w:rPr>
              <w:t xml:space="preserve">Los escribas eran los especialistas que se dedicaban al arte de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Estos requerían de años de estudio en la </w:t>
            </w:r>
            <w:proofErr w:type="spellStart"/>
            <w:r w:rsidRPr="001E4014">
              <w:rPr>
                <w:rFonts w:ascii="Arial" w:eastAsia="Times New Roman" w:hAnsi="Arial" w:cs="Arial"/>
                <w:i/>
                <w:iCs/>
                <w:color w:val="FFCC33"/>
                <w:sz w:val="20"/>
                <w:szCs w:val="20"/>
                <w:lang w:eastAsia="es-ES"/>
              </w:rPr>
              <w:t>edubba</w:t>
            </w:r>
            <w:proofErr w:type="spellEnd"/>
            <w:r w:rsidRPr="001E4014">
              <w:rPr>
                <w:rFonts w:ascii="Arial" w:eastAsia="Times New Roman" w:hAnsi="Arial" w:cs="Arial"/>
                <w:color w:val="FFCC33"/>
                <w:sz w:val="20"/>
                <w:szCs w:val="20"/>
                <w:lang w:eastAsia="es-ES"/>
              </w:rPr>
              <w:t xml:space="preserve">, escuela </w:t>
            </w:r>
            <w:proofErr w:type="spellStart"/>
            <w:r w:rsidRPr="001E4014">
              <w:rPr>
                <w:rFonts w:ascii="Arial" w:eastAsia="Times New Roman" w:hAnsi="Arial" w:cs="Arial"/>
                <w:color w:val="FFCC33"/>
                <w:sz w:val="20"/>
                <w:szCs w:val="20"/>
                <w:lang w:eastAsia="es-ES"/>
              </w:rPr>
              <w:t>mesopotamia</w:t>
            </w:r>
            <w:proofErr w:type="spellEnd"/>
            <w:r w:rsidRPr="001E4014">
              <w:rPr>
                <w:rFonts w:ascii="Arial" w:eastAsia="Times New Roman" w:hAnsi="Arial" w:cs="Arial"/>
                <w:color w:val="FFCC33"/>
                <w:sz w:val="20"/>
                <w:szCs w:val="20"/>
                <w:lang w:eastAsia="es-ES"/>
              </w:rPr>
              <w:t xml:space="preserve">. Cuando los escribas se convertían en profesionales siempre ocupaban cargos elevados en el gobierno porque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desempeñaba una función predominante en la vida de Mesopotamia. </w:t>
            </w:r>
            <w:r w:rsidRPr="001E4014">
              <w:rPr>
                <w:rFonts w:ascii="Arial" w:eastAsia="Times New Roman" w:hAnsi="Arial" w:cs="Arial"/>
                <w:color w:val="FFCC33"/>
                <w:sz w:val="20"/>
                <w:szCs w:val="20"/>
                <w:lang w:eastAsia="es-ES"/>
              </w:rPr>
              <w:br/>
            </w:r>
            <w:r w:rsidRPr="001E4014">
              <w:rPr>
                <w:rFonts w:ascii="Arial" w:eastAsia="Times New Roman" w:hAnsi="Arial" w:cs="Arial"/>
                <w:color w:val="FFCC33"/>
                <w:sz w:val="20"/>
                <w:szCs w:val="20"/>
                <w:lang w:eastAsia="es-ES"/>
              </w:rPr>
              <w:br/>
              <w:t xml:space="preserve">Con el paso del tiempo, los escribas estilizaron los toscos símbolos primitivos que sólo representaban objetos y crearon una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compleja capaz de expresar ideas abstractas. De este modo,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permitió conservar pensamientos y experiencias. Así,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alcanzó un alto grado de dificultad y en Mesopotamia llegaron a emplearse más de 700 signos diferentes. El paso final en el desarrollo de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cuneiforme sucedió cuando los escribas comenzaron a usar símbolos </w:t>
            </w:r>
            <w:proofErr w:type="spellStart"/>
            <w:r w:rsidRPr="001E4014">
              <w:rPr>
                <w:rFonts w:ascii="Arial" w:eastAsia="Times New Roman" w:hAnsi="Arial" w:cs="Arial"/>
                <w:color w:val="FFCC33"/>
                <w:sz w:val="20"/>
                <w:szCs w:val="20"/>
                <w:lang w:eastAsia="es-ES"/>
              </w:rPr>
              <w:t>fonéticamentepara</w:t>
            </w:r>
            <w:proofErr w:type="spellEnd"/>
            <w:r w:rsidRPr="001E4014">
              <w:rPr>
                <w:rFonts w:ascii="Arial" w:eastAsia="Times New Roman" w:hAnsi="Arial" w:cs="Arial"/>
                <w:color w:val="FFCC33"/>
                <w:sz w:val="20"/>
                <w:szCs w:val="20"/>
                <w:lang w:eastAsia="es-ES"/>
              </w:rPr>
              <w:t xml:space="preserve"> indicar sonidos al igual que ideas. Al dar a cada sonido un símbolo fonético era posible </w:t>
            </w:r>
            <w:proofErr w:type="spellStart"/>
            <w:r w:rsidRPr="001E4014">
              <w:rPr>
                <w:rFonts w:ascii="Arial" w:eastAsia="Times New Roman" w:hAnsi="Arial" w:cs="Arial"/>
                <w:color w:val="FFCC33"/>
                <w:sz w:val="20"/>
                <w:szCs w:val="20"/>
                <w:lang w:eastAsia="es-ES"/>
              </w:rPr>
              <w:t>deletrar</w:t>
            </w:r>
            <w:proofErr w:type="spellEnd"/>
            <w:r w:rsidRPr="001E4014">
              <w:rPr>
                <w:rFonts w:ascii="Arial" w:eastAsia="Times New Roman" w:hAnsi="Arial" w:cs="Arial"/>
                <w:color w:val="FFCC33"/>
                <w:sz w:val="20"/>
                <w:szCs w:val="20"/>
                <w:lang w:eastAsia="es-ES"/>
              </w:rPr>
              <w:t xml:space="preserve"> cualquier palabra en el lenguaje.</w:t>
            </w:r>
          </w:p>
        </w:tc>
      </w:tr>
      <w:tr w:rsidR="001E4014" w:rsidRPr="001E4014" w:rsidTr="001E4014">
        <w:trPr>
          <w:trHeight w:val="90"/>
          <w:tblCellSpacing w:w="0" w:type="dxa"/>
        </w:trPr>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4770" w:type="dxa"/>
            <w:shd w:val="clear" w:color="auto" w:fill="990000"/>
            <w:hideMark/>
          </w:tcPr>
          <w:p w:rsidR="001E4014" w:rsidRPr="001E4014" w:rsidRDefault="001E4014" w:rsidP="001E4014">
            <w:pPr>
              <w:spacing w:line="90" w:lineRule="atLeast"/>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0" w:type="auto"/>
            <w:shd w:val="clear" w:color="auto" w:fill="FFCC33"/>
            <w:vAlign w:val="center"/>
            <w:hideMark/>
          </w:tcPr>
          <w:p w:rsidR="001E4014" w:rsidRPr="001E4014" w:rsidRDefault="001E4014" w:rsidP="001E4014">
            <w:pPr>
              <w:spacing w:before="100" w:beforeAutospacing="1" w:after="100" w:afterAutospacing="1" w:line="90" w:lineRule="atLeast"/>
              <w:rPr>
                <w:rFonts w:ascii="Times New Roman" w:eastAsia="Times New Roman" w:hAnsi="Times New Roman" w:cs="Times New Roman"/>
                <w:color w:val="000000"/>
                <w:sz w:val="24"/>
                <w:szCs w:val="24"/>
                <w:lang w:eastAsia="es-ES"/>
              </w:rPr>
            </w:pPr>
            <w:r w:rsidRPr="001E4014">
              <w:rPr>
                <w:rFonts w:ascii="Times New Roman" w:eastAsia="Times New Roman" w:hAnsi="Times New Roman" w:cs="Times New Roman"/>
                <w:color w:val="000000"/>
                <w:sz w:val="24"/>
                <w:szCs w:val="24"/>
                <w:lang w:eastAsia="es-ES"/>
              </w:rPr>
              <w:t> </w:t>
            </w:r>
          </w:p>
        </w:tc>
      </w:tr>
      <w:tr w:rsidR="001E4014" w:rsidRPr="001E4014" w:rsidTr="001E4014">
        <w:trPr>
          <w:trHeight w:val="180"/>
          <w:tblCellSpacing w:w="0" w:type="dxa"/>
        </w:trPr>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0" w:type="auto"/>
            <w:shd w:val="clear" w:color="auto" w:fill="FFCC33"/>
            <w:vAlign w:val="center"/>
            <w:hideMark/>
          </w:tcPr>
          <w:p w:rsidR="001E4014" w:rsidRPr="001E4014" w:rsidRDefault="001E4014" w:rsidP="001E4014">
            <w:pPr>
              <w:spacing w:before="100" w:beforeAutospacing="1" w:after="100" w:afterAutospacing="1" w:line="180" w:lineRule="atLeast"/>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857500" cy="2809875"/>
                  <wp:effectExtent l="19050" t="0" r="0" b="0"/>
                  <wp:docPr id="5" name="Imagen 5" descr="http://sepiensa.org.mx/contenidos/historia_mundo/antigua/mesopotamia/escritura/img/mes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iensa.org.mx/contenidos/historia_mundo/antigua/mesopotamia/escritura/img/meso_2.jpg"/>
                          <pic:cNvPicPr>
                            <a:picLocks noChangeAspect="1" noChangeArrowheads="1"/>
                          </pic:cNvPicPr>
                        </pic:nvPicPr>
                        <pic:blipFill>
                          <a:blip r:embed="rId7"/>
                          <a:srcRect/>
                          <a:stretch>
                            <a:fillRect/>
                          </a:stretch>
                        </pic:blipFill>
                        <pic:spPr bwMode="auto">
                          <a:xfrm>
                            <a:off x="0" y="0"/>
                            <a:ext cx="2857500" cy="2809875"/>
                          </a:xfrm>
                          <a:prstGeom prst="rect">
                            <a:avLst/>
                          </a:prstGeom>
                          <a:noFill/>
                          <a:ln w="9525">
                            <a:noFill/>
                            <a:miter lim="800000"/>
                            <a:headEnd/>
                            <a:tailEnd/>
                          </a:ln>
                        </pic:spPr>
                      </pic:pic>
                    </a:graphicData>
                  </a:graphic>
                </wp:inline>
              </w:drawing>
            </w:r>
          </w:p>
        </w:tc>
        <w:tc>
          <w:tcPr>
            <w:tcW w:w="0" w:type="auto"/>
            <w:vMerge/>
            <w:vAlign w:val="center"/>
            <w:hideMark/>
          </w:tcPr>
          <w:p w:rsidR="001E4014" w:rsidRPr="001E4014" w:rsidRDefault="001E4014" w:rsidP="001E4014">
            <w:pPr>
              <w:rPr>
                <w:rFonts w:ascii="Times New Roman" w:eastAsia="Times New Roman" w:hAnsi="Times New Roman" w:cs="Times New Roman"/>
                <w:color w:val="000000"/>
                <w:sz w:val="24"/>
                <w:szCs w:val="24"/>
                <w:lang w:eastAsia="es-ES"/>
              </w:rPr>
            </w:pPr>
          </w:p>
        </w:tc>
        <w:tc>
          <w:tcPr>
            <w:tcW w:w="0" w:type="auto"/>
            <w:shd w:val="clear" w:color="auto" w:fill="990000"/>
            <w:vAlign w:val="center"/>
            <w:hideMark/>
          </w:tcPr>
          <w:p w:rsidR="001E4014" w:rsidRPr="001E4014" w:rsidRDefault="001E4014" w:rsidP="001E4014">
            <w:pPr>
              <w:spacing w:before="100" w:beforeAutospacing="1" w:after="100" w:afterAutospacing="1"/>
              <w:rPr>
                <w:rFonts w:ascii="Times New Roman" w:eastAsia="Times New Roman" w:hAnsi="Times New Roman" w:cs="Times New Roman"/>
                <w:color w:val="000000"/>
                <w:sz w:val="24"/>
                <w:szCs w:val="24"/>
                <w:lang w:eastAsia="es-ES"/>
              </w:rPr>
            </w:pPr>
            <w:r w:rsidRPr="001E4014">
              <w:rPr>
                <w:rFonts w:ascii="Arial" w:eastAsia="Times New Roman" w:hAnsi="Arial" w:cs="Arial"/>
                <w:b/>
                <w:bCs/>
                <w:color w:val="FDE9AE"/>
                <w:sz w:val="24"/>
                <w:szCs w:val="24"/>
                <w:lang w:eastAsia="es-ES"/>
              </w:rPr>
              <w:t xml:space="preserve">¿Para qué servía la </w:t>
            </w:r>
            <w:r w:rsidRPr="001E4014">
              <w:rPr>
                <w:rFonts w:ascii="Arial" w:eastAsia="Times New Roman" w:hAnsi="Arial" w:cs="Arial"/>
                <w:b/>
                <w:bCs/>
                <w:color w:val="000000"/>
                <w:sz w:val="24"/>
                <w:szCs w:val="24"/>
                <w:lang w:eastAsia="es-ES"/>
              </w:rPr>
              <w:t>escritura</w:t>
            </w:r>
            <w:r w:rsidRPr="001E4014">
              <w:rPr>
                <w:rFonts w:ascii="Arial" w:eastAsia="Times New Roman" w:hAnsi="Arial" w:cs="Arial"/>
                <w:b/>
                <w:bCs/>
                <w:color w:val="FDE9AE"/>
                <w:sz w:val="24"/>
                <w:szCs w:val="24"/>
                <w:lang w:eastAsia="es-ES"/>
              </w:rPr>
              <w:t>?</w:t>
            </w:r>
          </w:p>
          <w:p w:rsidR="001E4014" w:rsidRPr="001E4014" w:rsidRDefault="001E4014" w:rsidP="001E4014">
            <w:pPr>
              <w:spacing w:before="100" w:beforeAutospacing="1" w:after="100" w:afterAutospacing="1" w:line="180" w:lineRule="atLeast"/>
              <w:jc w:val="right"/>
              <w:rPr>
                <w:rFonts w:ascii="Times New Roman" w:eastAsia="Times New Roman" w:hAnsi="Times New Roman" w:cs="Times New Roman"/>
                <w:color w:val="000000"/>
                <w:sz w:val="24"/>
                <w:szCs w:val="24"/>
                <w:lang w:eastAsia="es-ES"/>
              </w:rPr>
            </w:pPr>
            <w:r w:rsidRPr="001E4014">
              <w:rPr>
                <w:rFonts w:ascii="Arial" w:eastAsia="Times New Roman" w:hAnsi="Arial" w:cs="Arial"/>
                <w:color w:val="FFCC33"/>
                <w:sz w:val="20"/>
                <w:szCs w:val="20"/>
                <w:lang w:eastAsia="es-ES"/>
              </w:rPr>
              <w:t xml:space="preserve">La función de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fue amplia. Sirvió para documentos religiosos, técnicos e históricos, tablas astronómicas, inventarios de productos agrícolas, códigos de derecho, textos médicos, crónicas literarias, poesía, etcétera. Se han encontrado miles de tabletas inscritas. A la </w:t>
            </w:r>
            <w:r w:rsidRPr="001E4014">
              <w:rPr>
                <w:rFonts w:ascii="Arial" w:eastAsia="Times New Roman" w:hAnsi="Arial" w:cs="Arial"/>
                <w:b/>
                <w:bCs/>
                <w:color w:val="000000"/>
                <w:sz w:val="20"/>
                <w:lang w:eastAsia="es-ES"/>
              </w:rPr>
              <w:t>escritura</w:t>
            </w:r>
            <w:r w:rsidRPr="001E4014">
              <w:rPr>
                <w:rFonts w:ascii="Arial" w:eastAsia="Times New Roman" w:hAnsi="Arial" w:cs="Arial"/>
                <w:color w:val="FFCC33"/>
                <w:sz w:val="20"/>
                <w:szCs w:val="20"/>
                <w:lang w:eastAsia="es-ES"/>
              </w:rPr>
              <w:t xml:space="preserve"> se le otorgaron también cualidades mágicas y ceremoniales. En los cimientos de templos y palacios se colocaba una tableta dirigida a uno de los dioses </w:t>
            </w:r>
            <w:proofErr w:type="spellStart"/>
            <w:r w:rsidRPr="001E4014">
              <w:rPr>
                <w:rFonts w:ascii="Arial" w:eastAsia="Times New Roman" w:hAnsi="Arial" w:cs="Arial"/>
                <w:color w:val="FFCC33"/>
                <w:sz w:val="20"/>
                <w:szCs w:val="20"/>
                <w:lang w:eastAsia="es-ES"/>
              </w:rPr>
              <w:t>mesopotamios</w:t>
            </w:r>
            <w:proofErr w:type="spellEnd"/>
            <w:r w:rsidRPr="001E4014">
              <w:rPr>
                <w:rFonts w:ascii="Arial" w:eastAsia="Times New Roman" w:hAnsi="Arial" w:cs="Arial"/>
                <w:color w:val="FFCC33"/>
                <w:sz w:val="20"/>
                <w:szCs w:val="20"/>
                <w:lang w:eastAsia="es-ES"/>
              </w:rPr>
              <w:t xml:space="preserve"> y era común que la gente cargara amuletos con inscripciones para ahuyentar a los malos espíritus</w:t>
            </w:r>
          </w:p>
        </w:tc>
      </w:tr>
    </w:tbl>
    <w:p w:rsidR="00094C8C" w:rsidRDefault="00094C8C"/>
    <w:sectPr w:rsidR="00094C8C" w:rsidSect="00094C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014"/>
    <w:rsid w:val="00094C8C"/>
    <w:rsid w:val="001E4014"/>
    <w:rsid w:val="00320647"/>
    <w:rsid w:val="00BF42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hescritura1">
    <w:name w:val="sth_escritura1"/>
    <w:basedOn w:val="Fuentedeprrafopredeter"/>
    <w:rsid w:val="001E4014"/>
    <w:rPr>
      <w:b/>
      <w:bCs/>
      <w:color w:val="000000"/>
      <w:shd w:val="clear" w:color="auto" w:fill="FFFF66"/>
    </w:rPr>
  </w:style>
  <w:style w:type="paragraph" w:styleId="NormalWeb">
    <w:name w:val="Normal (Web)"/>
    <w:basedOn w:val="Normal"/>
    <w:uiPriority w:val="99"/>
    <w:unhideWhenUsed/>
    <w:rsid w:val="001E4014"/>
    <w:pPr>
      <w:spacing w:before="100" w:beforeAutospacing="1" w:after="100" w:afterAutospacing="1"/>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1E4014"/>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1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2377</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2008-11-26T02:12:00Z</dcterms:created>
  <dcterms:modified xsi:type="dcterms:W3CDTF">2008-11-26T02:14:00Z</dcterms:modified>
</cp:coreProperties>
</file>