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2DD" w:rsidRDefault="006A72DD" w:rsidP="00E9280E">
      <w:pPr>
        <w:pStyle w:val="NormalWeb"/>
        <w:rPr>
          <w:rFonts w:ascii="Verdana" w:hAnsi="Verdana"/>
          <w:color w:val="00005A"/>
          <w:sz w:val="20"/>
          <w:szCs w:val="20"/>
        </w:rPr>
      </w:pPr>
      <w:r>
        <w:rPr>
          <w:rStyle w:val="Strong"/>
          <w:rFonts w:ascii="Verdana" w:hAnsi="Verdana"/>
          <w:color w:val="00005A"/>
          <w:sz w:val="20"/>
          <w:szCs w:val="20"/>
        </w:rPr>
        <w:t xml:space="preserve">ATTACCAMENTO DISORGANIZZATO </w:t>
      </w:r>
    </w:p>
    <w:p w:rsidR="006A72DD" w:rsidRDefault="006A72DD" w:rsidP="00E9280E">
      <w:pPr>
        <w:pStyle w:val="NormalWeb"/>
        <w:rPr>
          <w:rFonts w:ascii="Verdana" w:hAnsi="Verdana"/>
          <w:color w:val="00005A"/>
          <w:sz w:val="20"/>
          <w:szCs w:val="20"/>
        </w:rPr>
      </w:pPr>
      <w:r>
        <w:rPr>
          <w:rFonts w:ascii="Verdana" w:hAnsi="Verdana"/>
          <w:color w:val="00005A"/>
          <w:sz w:val="20"/>
          <w:szCs w:val="20"/>
        </w:rPr>
        <w:t xml:space="preserve">Essi presentano dei comportamenti disorientati, disorganizzati e non direzionati: strillano cercando il genitore attraverso la porta e se ne allontanano durante la riunione, si avvicinano ad esempio alla Figure di accudimento con la testa voltata dall'altra parte, come se non potessero organizzare il proprio comportamento nè nel senso dell'avvicinamento né nel senso dell'evitamento. </w:t>
      </w:r>
    </w:p>
    <w:p w:rsidR="006A72DD" w:rsidRDefault="006A72DD" w:rsidP="00E9280E">
      <w:pPr>
        <w:pStyle w:val="NormalWeb"/>
        <w:rPr>
          <w:rFonts w:ascii="Verdana" w:hAnsi="Verdana"/>
          <w:color w:val="00005A"/>
          <w:sz w:val="20"/>
          <w:szCs w:val="20"/>
        </w:rPr>
      </w:pPr>
      <w:r>
        <w:rPr>
          <w:rStyle w:val="Strong"/>
          <w:rFonts w:ascii="Verdana" w:hAnsi="Verdana"/>
          <w:color w:val="00005A"/>
          <w:sz w:val="20"/>
          <w:szCs w:val="20"/>
        </w:rPr>
        <w:t xml:space="preserve">Stile di accudimento corrispondente </w:t>
      </w:r>
    </w:p>
    <w:p w:rsidR="006A72DD" w:rsidRDefault="006A72DD" w:rsidP="00E9280E">
      <w:pPr>
        <w:pStyle w:val="NormalWeb"/>
        <w:rPr>
          <w:rFonts w:ascii="Verdana" w:hAnsi="Verdana"/>
          <w:color w:val="00005A"/>
          <w:sz w:val="20"/>
          <w:szCs w:val="20"/>
        </w:rPr>
      </w:pPr>
      <w:r>
        <w:rPr>
          <w:rFonts w:ascii="Verdana" w:hAnsi="Verdana"/>
          <w:color w:val="00005A"/>
          <w:sz w:val="20"/>
          <w:szCs w:val="20"/>
        </w:rPr>
        <w:t xml:space="preserve">Le ricerche hanno individuato una sofferenza delle figure di accudimento a causa della mancanza di elaborazione di un lutto oppure di gravi eventi traumatici nelle relazioni con le proprie figure di accudimento. Sono figure di accudimento immerse in un doloroso mondo interiore e/o che incutono paura. </w:t>
      </w:r>
    </w:p>
    <w:p w:rsidR="006A72DD" w:rsidRDefault="006A72DD" w:rsidP="00E9280E">
      <w:pPr>
        <w:pStyle w:val="NormalWeb"/>
        <w:rPr>
          <w:rFonts w:ascii="Verdana" w:hAnsi="Verdana"/>
          <w:color w:val="00005A"/>
          <w:sz w:val="20"/>
          <w:szCs w:val="20"/>
        </w:rPr>
      </w:pPr>
      <w:r>
        <w:rPr>
          <w:rStyle w:val="Strong"/>
          <w:rFonts w:ascii="Verdana" w:hAnsi="Verdana"/>
          <w:color w:val="00005A"/>
          <w:sz w:val="20"/>
          <w:szCs w:val="20"/>
        </w:rPr>
        <w:t xml:space="preserve">Modelli operativi interni di sé e dell'altro </w:t>
      </w:r>
    </w:p>
    <w:p w:rsidR="006A72DD" w:rsidRDefault="006A72DD" w:rsidP="00E9280E">
      <w:pPr>
        <w:pStyle w:val="NormalWeb"/>
        <w:rPr>
          <w:rFonts w:ascii="Verdana" w:hAnsi="Verdana"/>
          <w:color w:val="00005A"/>
          <w:sz w:val="20"/>
          <w:szCs w:val="20"/>
        </w:rPr>
      </w:pPr>
      <w:r>
        <w:rPr>
          <w:rFonts w:ascii="Verdana" w:hAnsi="Verdana"/>
          <w:color w:val="00005A"/>
          <w:sz w:val="20"/>
          <w:szCs w:val="20"/>
        </w:rPr>
        <w:t xml:space="preserve">Abbozzi multipli: </w:t>
      </w:r>
    </w:p>
    <w:p w:rsidR="006A72DD" w:rsidRDefault="006A72DD" w:rsidP="00E9280E">
      <w:pPr>
        <w:pStyle w:val="NormalWeb"/>
        <w:rPr>
          <w:rFonts w:ascii="Verdana" w:hAnsi="Verdana"/>
          <w:color w:val="00005A"/>
          <w:sz w:val="20"/>
          <w:szCs w:val="20"/>
        </w:rPr>
      </w:pPr>
      <w:r>
        <w:rPr>
          <w:rFonts w:ascii="Verdana" w:hAnsi="Verdana"/>
          <w:color w:val="00005A"/>
          <w:sz w:val="20"/>
          <w:szCs w:val="20"/>
        </w:rPr>
        <w:t xml:space="preserve">•  Sé accettabile e figure di accudimento disponibile </w:t>
      </w:r>
    </w:p>
    <w:p w:rsidR="006A72DD" w:rsidRDefault="006A72DD" w:rsidP="00E9280E">
      <w:pPr>
        <w:pStyle w:val="NormalWeb"/>
        <w:rPr>
          <w:rFonts w:ascii="Verdana" w:hAnsi="Verdana"/>
          <w:color w:val="00005A"/>
          <w:sz w:val="20"/>
          <w:szCs w:val="20"/>
        </w:rPr>
      </w:pPr>
      <w:r>
        <w:rPr>
          <w:rFonts w:ascii="Verdana" w:hAnsi="Verdana"/>
          <w:color w:val="00005A"/>
          <w:sz w:val="20"/>
          <w:szCs w:val="20"/>
        </w:rPr>
        <w:t xml:space="preserve">•  Sé come vittima impotente di un altro minaccioso </w:t>
      </w:r>
    </w:p>
    <w:p w:rsidR="006A72DD" w:rsidRDefault="006A72DD" w:rsidP="00E9280E">
      <w:pPr>
        <w:pStyle w:val="NormalWeb"/>
        <w:rPr>
          <w:rFonts w:ascii="Verdana" w:hAnsi="Verdana"/>
          <w:color w:val="00005A"/>
          <w:sz w:val="20"/>
          <w:szCs w:val="20"/>
        </w:rPr>
      </w:pPr>
      <w:r>
        <w:rPr>
          <w:rFonts w:ascii="Verdana" w:hAnsi="Verdana"/>
          <w:color w:val="00005A"/>
          <w:sz w:val="20"/>
          <w:szCs w:val="20"/>
        </w:rPr>
        <w:t xml:space="preserve">•  Sé come pericoloso per le persone amate </w:t>
      </w:r>
    </w:p>
    <w:p w:rsidR="006A72DD" w:rsidRDefault="006A72DD" w:rsidP="00E9280E">
      <w:pPr>
        <w:pStyle w:val="NormalWeb"/>
        <w:rPr>
          <w:rFonts w:ascii="Verdana" w:hAnsi="Verdana"/>
          <w:color w:val="00005A"/>
          <w:sz w:val="20"/>
          <w:szCs w:val="20"/>
        </w:rPr>
      </w:pPr>
      <w:r>
        <w:rPr>
          <w:rFonts w:ascii="Verdana" w:hAnsi="Verdana"/>
          <w:color w:val="00005A"/>
          <w:sz w:val="20"/>
          <w:szCs w:val="20"/>
        </w:rPr>
        <w:t xml:space="preserve">•  Sé e figure di accudimento come deboli di fronte a pericoli esterni </w:t>
      </w:r>
    </w:p>
    <w:p w:rsidR="006A72DD" w:rsidRDefault="006A72DD" w:rsidP="00E9280E">
      <w:pPr>
        <w:pStyle w:val="NormalWeb"/>
        <w:rPr>
          <w:rFonts w:ascii="Verdana" w:hAnsi="Verdana"/>
          <w:color w:val="00005A"/>
          <w:sz w:val="20"/>
          <w:szCs w:val="20"/>
        </w:rPr>
      </w:pPr>
      <w:r>
        <w:rPr>
          <w:rStyle w:val="Strong"/>
          <w:rFonts w:ascii="Verdana" w:hAnsi="Verdana"/>
          <w:color w:val="00005A"/>
          <w:sz w:val="20"/>
          <w:szCs w:val="20"/>
        </w:rPr>
        <w:t xml:space="preserve">Sviluppi: </w:t>
      </w:r>
      <w:r>
        <w:rPr>
          <w:rFonts w:ascii="Verdana" w:hAnsi="Verdana"/>
          <w:color w:val="00005A"/>
          <w:sz w:val="20"/>
          <w:szCs w:val="20"/>
        </w:rPr>
        <w:t xml:space="preserve">l'ultimo tipo di attaccamento descritto da Bowlby origina da gravi mancanze della madre (violenza, maltrattamenti, abusi) che generano personalità borderline o psicotiche. </w:t>
      </w:r>
    </w:p>
    <w:p w:rsidR="006A72DD" w:rsidRDefault="006A72DD">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i1025" type="#_x0000_t75" alt="" style="width:297.75pt;height:248.25pt">
            <v:imagedata r:id="rId4" r:href="rId5"/>
          </v:shape>
        </w:pict>
      </w:r>
    </w:p>
    <w:sectPr w:rsidR="006A72DD" w:rsidSect="002C216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280E"/>
    <w:rsid w:val="002C2161"/>
    <w:rsid w:val="00445301"/>
    <w:rsid w:val="006A72DD"/>
    <w:rsid w:val="00A724ED"/>
    <w:rsid w:val="00B159B8"/>
    <w:rsid w:val="00E9280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16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E9280E"/>
    <w:pPr>
      <w:spacing w:before="100" w:beforeAutospacing="1" w:after="100" w:afterAutospacing="1" w:line="240" w:lineRule="auto"/>
    </w:pPr>
    <w:rPr>
      <w:rFonts w:ascii="Times New Roman" w:eastAsia="Times New Roman" w:hAnsi="Times New Roman"/>
      <w:sz w:val="24"/>
      <w:szCs w:val="24"/>
      <w:lang w:eastAsia="it-IT"/>
    </w:rPr>
  </w:style>
  <w:style w:type="character" w:styleId="Strong">
    <w:name w:val="Strong"/>
    <w:basedOn w:val="DefaultParagraphFont"/>
    <w:uiPriority w:val="99"/>
    <w:qFormat/>
    <w:rsid w:val="00E9280E"/>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centropsichedonna.it/uploads/4.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196</Words>
  <Characters>1120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ATTACCAMENTO DISORGANIZZATO </dc:title>
  <dc:subject/>
  <dc:creator>davide</dc:creator>
  <cp:keywords/>
  <dc:description/>
  <cp:lastModifiedBy>Sc. della Formazione</cp:lastModifiedBy>
  <cp:revision>2</cp:revision>
  <dcterms:created xsi:type="dcterms:W3CDTF">2010-10-28T14:39:00Z</dcterms:created>
  <dcterms:modified xsi:type="dcterms:W3CDTF">2010-10-28T14:39:00Z</dcterms:modified>
</cp:coreProperties>
</file>