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78E" w:rsidRPr="002A178E" w:rsidRDefault="002A178E" w:rsidP="002A17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“</w:t>
      </w:r>
      <w:r w:rsidRPr="002A178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Nel </w:t>
      </w:r>
      <w:hyperlink r:id="rId5" w:tooltip="1871" w:history="1">
        <w:r w:rsidRPr="002A17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1871</w:t>
        </w:r>
      </w:hyperlink>
      <w:r w:rsidRPr="002A178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Edward </w:t>
      </w:r>
      <w:proofErr w:type="spellStart"/>
      <w:r w:rsidRPr="002A178E">
        <w:rPr>
          <w:rFonts w:ascii="Times New Roman" w:eastAsia="Times New Roman" w:hAnsi="Times New Roman" w:cs="Times New Roman"/>
          <w:sz w:val="24"/>
          <w:szCs w:val="24"/>
          <w:lang w:eastAsia="it-IT"/>
        </w:rPr>
        <w:t>Tylor</w:t>
      </w:r>
      <w:proofErr w:type="spellEnd"/>
      <w:r w:rsidRPr="002A178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pubblicò il saggio </w:t>
      </w:r>
      <w:r w:rsidRPr="002A178E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Primitive Culture</w:t>
      </w:r>
      <w:r w:rsidRPr="002A178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cui in apertura presentava la prima e più importante definizione sistematica del concetto di </w:t>
      </w:r>
      <w:hyperlink r:id="rId6" w:tooltip="Cultura" w:history="1">
        <w:r w:rsidRPr="002A17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cultura</w:t>
        </w:r>
      </w:hyperlink>
      <w:r w:rsidRPr="002A178E">
        <w:rPr>
          <w:rFonts w:ascii="Times New Roman" w:eastAsia="Times New Roman" w:hAnsi="Times New Roman" w:cs="Times New Roman"/>
          <w:sz w:val="24"/>
          <w:szCs w:val="24"/>
          <w:lang w:eastAsia="it-IT"/>
        </w:rPr>
        <w:t>. Essa recita:</w:t>
      </w:r>
    </w:p>
    <w:tbl>
      <w:tblPr>
        <w:tblW w:w="0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627"/>
        <w:gridCol w:w="9647"/>
      </w:tblGrid>
      <w:tr w:rsidR="002A178E" w:rsidRPr="002A178E" w:rsidTr="002A17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8" w:type="dxa"/>
              <w:bottom w:w="0" w:type="dxa"/>
              <w:right w:w="288" w:type="dxa"/>
            </w:tcMar>
            <w:hideMark/>
          </w:tcPr>
          <w:p w:rsidR="002A178E" w:rsidRPr="002A178E" w:rsidRDefault="002A178E" w:rsidP="002A178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88" w:type="dxa"/>
            </w:tcMar>
            <w:vAlign w:val="center"/>
            <w:hideMark/>
          </w:tcPr>
          <w:p w:rsidR="002A178E" w:rsidRPr="002A178E" w:rsidRDefault="002A178E" w:rsidP="002A178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</w:pPr>
            <w:r w:rsidRPr="002A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it-IT"/>
              </w:rPr>
              <w:t>«</w:t>
            </w:r>
            <w:r w:rsidRPr="002A1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t> La cultura, o civiltà, intesa nel suo ampio senso etnografico, è quell’insieme complesso che include la conoscenza, le credenze, l’</w:t>
            </w:r>
            <w:hyperlink r:id="rId7" w:tooltip="Arte" w:history="1">
              <w:r w:rsidRPr="002A178E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  <w:lang w:eastAsia="it-IT"/>
                </w:rPr>
                <w:t>arte</w:t>
              </w:r>
            </w:hyperlink>
            <w:r w:rsidRPr="002A1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t xml:space="preserve">, la </w:t>
            </w:r>
            <w:hyperlink r:id="rId8" w:tooltip="Morale" w:history="1">
              <w:r w:rsidRPr="002A178E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  <w:lang w:eastAsia="it-IT"/>
                </w:rPr>
                <w:t>morale</w:t>
              </w:r>
            </w:hyperlink>
            <w:r w:rsidRPr="002A1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t xml:space="preserve">, il </w:t>
            </w:r>
            <w:hyperlink r:id="rId9" w:tooltip="Diritto" w:history="1">
              <w:r w:rsidRPr="002A178E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  <w:lang w:eastAsia="it-IT"/>
                </w:rPr>
                <w:t>diritto</w:t>
              </w:r>
            </w:hyperlink>
            <w:r w:rsidRPr="002A1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t xml:space="preserve">, il costume e qualsiasi altra capacità e abitudine acquisita dall’uomo come membro di una </w:t>
            </w:r>
            <w:hyperlink r:id="rId10" w:tooltip="Società" w:history="1">
              <w:r w:rsidRPr="002A178E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  <w:lang w:eastAsia="it-IT"/>
                </w:rPr>
                <w:t>società</w:t>
              </w:r>
            </w:hyperlink>
            <w:r w:rsidRPr="002A1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t>. </w:t>
            </w:r>
            <w:r w:rsidRPr="002A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it-IT"/>
              </w:rPr>
              <w:t>»</w:t>
            </w:r>
          </w:p>
        </w:tc>
      </w:tr>
      <w:tr w:rsidR="002A178E" w:rsidRPr="002A178E" w:rsidTr="002A178E">
        <w:trPr>
          <w:tblCellSpacing w:w="15" w:type="dxa"/>
          <w:hidden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8" w:type="dxa"/>
              <w:bottom w:w="0" w:type="dxa"/>
              <w:right w:w="288" w:type="dxa"/>
            </w:tcMar>
            <w:vAlign w:val="center"/>
            <w:hideMark/>
          </w:tcPr>
          <w:p w:rsidR="002A178E" w:rsidRPr="002A178E" w:rsidRDefault="002A178E" w:rsidP="002A178E">
            <w:pPr>
              <w:spacing w:after="12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3"/>
                <w:szCs w:val="23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88" w:type="dxa"/>
            </w:tcMar>
            <w:vAlign w:val="center"/>
            <w:hideMark/>
          </w:tcPr>
          <w:p w:rsidR="002A178E" w:rsidRPr="002A178E" w:rsidRDefault="002A178E" w:rsidP="002A178E">
            <w:pPr>
              <w:spacing w:after="12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3"/>
                <w:szCs w:val="23"/>
                <w:lang w:eastAsia="it-IT"/>
              </w:rPr>
            </w:pPr>
          </w:p>
        </w:tc>
      </w:tr>
    </w:tbl>
    <w:p w:rsidR="002A178E" w:rsidRPr="002A178E" w:rsidRDefault="002A178E" w:rsidP="002A17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178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Come si nota, </w:t>
      </w:r>
      <w:proofErr w:type="spellStart"/>
      <w:r w:rsidRPr="002A178E">
        <w:rPr>
          <w:rFonts w:ascii="Times New Roman" w:eastAsia="Times New Roman" w:hAnsi="Times New Roman" w:cs="Times New Roman"/>
          <w:sz w:val="24"/>
          <w:szCs w:val="24"/>
          <w:lang w:eastAsia="it-IT"/>
        </w:rPr>
        <w:t>Tylor</w:t>
      </w:r>
      <w:proofErr w:type="spellEnd"/>
      <w:r w:rsidRPr="002A178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mantiene in questa definizione anche il termine </w:t>
      </w:r>
      <w:hyperlink r:id="rId11" w:tooltip="Civiltà" w:history="1">
        <w:r w:rsidRPr="002A17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civiltà</w:t>
        </w:r>
      </w:hyperlink>
      <w:r w:rsidRPr="002A178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che spesso è usato come sinonimo di cultura e altre volte invece è usato nel suo senso specifico diverso da quello di cultura. La cultura designa per </w:t>
      </w:r>
      <w:proofErr w:type="spellStart"/>
      <w:r w:rsidRPr="002A178E">
        <w:rPr>
          <w:rFonts w:ascii="Times New Roman" w:eastAsia="Times New Roman" w:hAnsi="Times New Roman" w:cs="Times New Roman"/>
          <w:sz w:val="24"/>
          <w:szCs w:val="24"/>
          <w:lang w:eastAsia="it-IT"/>
        </w:rPr>
        <w:t>Tylor</w:t>
      </w:r>
      <w:proofErr w:type="spellEnd"/>
      <w:r w:rsidRPr="002A178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due fenomeni distinti:</w:t>
      </w:r>
    </w:p>
    <w:p w:rsidR="002A178E" w:rsidRPr="002A178E" w:rsidRDefault="002A178E" w:rsidP="002A17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178E">
        <w:rPr>
          <w:rFonts w:ascii="Times New Roman" w:eastAsia="Times New Roman" w:hAnsi="Times New Roman" w:cs="Times New Roman"/>
          <w:sz w:val="24"/>
          <w:szCs w:val="24"/>
          <w:lang w:eastAsia="it-IT"/>
        </w:rPr>
        <w:t>Cultura come soggetto storico dell’evoluzione umana;</w:t>
      </w:r>
    </w:p>
    <w:p w:rsidR="002A178E" w:rsidRPr="002A178E" w:rsidRDefault="002A178E" w:rsidP="002A17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178E">
        <w:rPr>
          <w:rFonts w:ascii="Times New Roman" w:eastAsia="Times New Roman" w:hAnsi="Times New Roman" w:cs="Times New Roman"/>
          <w:sz w:val="24"/>
          <w:szCs w:val="24"/>
          <w:lang w:eastAsia="it-IT"/>
        </w:rPr>
        <w:t>Cultura come particolare patrimonio collettivo di un gruppo umano.</w:t>
      </w:r>
    </w:p>
    <w:p w:rsidR="002A178E" w:rsidRPr="002A178E" w:rsidRDefault="002A178E" w:rsidP="002A17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2A178E">
        <w:rPr>
          <w:rFonts w:ascii="Times New Roman" w:eastAsia="Times New Roman" w:hAnsi="Times New Roman" w:cs="Times New Roman"/>
          <w:sz w:val="24"/>
          <w:szCs w:val="24"/>
          <w:lang w:eastAsia="it-IT"/>
        </w:rPr>
        <w:t>Tylor</w:t>
      </w:r>
      <w:proofErr w:type="spellEnd"/>
      <w:r w:rsidRPr="002A178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utilizza nel testo il termine civiltà per intendere il processo di evoluzione culturale dell’umanità che ha il suo fondamento nell’idea di </w:t>
      </w:r>
      <w:hyperlink r:id="rId12" w:tooltip="Herbert Spencer" w:history="1">
        <w:r w:rsidRPr="002A17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Herbert Spencer</w:t>
        </w:r>
      </w:hyperlink>
      <w:r w:rsidRPr="002A178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uno sviluppo unilineare dal semplice al complesso. Quando invece si discute di scenari più locali e ristretti, come quelli di una tribù o di un popolo, </w:t>
      </w:r>
      <w:proofErr w:type="spellStart"/>
      <w:r w:rsidRPr="002A178E">
        <w:rPr>
          <w:rFonts w:ascii="Times New Roman" w:eastAsia="Times New Roman" w:hAnsi="Times New Roman" w:cs="Times New Roman"/>
          <w:sz w:val="24"/>
          <w:szCs w:val="24"/>
          <w:lang w:eastAsia="it-IT"/>
        </w:rPr>
        <w:t>Tylor</w:t>
      </w:r>
      <w:proofErr w:type="spellEnd"/>
      <w:r w:rsidRPr="002A178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usa il termine cultura. A questo livello il riferimento non è Spencer ma </w:t>
      </w:r>
      <w:hyperlink r:id="rId13" w:tooltip="Gustav Klemm (pagina inesistente)" w:history="1">
        <w:r w:rsidRPr="002A178E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it-IT"/>
          </w:rPr>
          <w:t xml:space="preserve">Gustav </w:t>
        </w:r>
        <w:proofErr w:type="spellStart"/>
        <w:r w:rsidRPr="002A178E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it-IT"/>
          </w:rPr>
          <w:t>Klemm</w:t>
        </w:r>
        <w:proofErr w:type="spellEnd"/>
      </w:hyperlink>
      <w:r w:rsidRPr="002A178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fu il primo a conferire al termine cultura il significato di insieme di costumi e credenze (non si dimentichi che </w:t>
      </w:r>
      <w:proofErr w:type="spellStart"/>
      <w:r w:rsidRPr="002A178E">
        <w:rPr>
          <w:rFonts w:ascii="Times New Roman" w:eastAsia="Times New Roman" w:hAnsi="Times New Roman" w:cs="Times New Roman"/>
          <w:sz w:val="24"/>
          <w:szCs w:val="24"/>
          <w:lang w:eastAsia="it-IT"/>
        </w:rPr>
        <w:t>Klemm</w:t>
      </w:r>
      <w:proofErr w:type="spellEnd"/>
      <w:r w:rsidRPr="002A178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era esponente del </w:t>
      </w:r>
      <w:hyperlink r:id="rId14" w:tooltip="Romanticismo" w:history="1">
        <w:r w:rsidRPr="002A17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romanticismo</w:t>
        </w:r>
      </w:hyperlink>
      <w:r w:rsidRPr="002A178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tedesco e guardava con sospetto agli ideali illuministici insiti nel concetto di civiltà e civilizzazione). Nella definizione che </w:t>
      </w:r>
      <w:proofErr w:type="spellStart"/>
      <w:r w:rsidRPr="002A178E">
        <w:rPr>
          <w:rFonts w:ascii="Times New Roman" w:eastAsia="Times New Roman" w:hAnsi="Times New Roman" w:cs="Times New Roman"/>
          <w:sz w:val="24"/>
          <w:szCs w:val="24"/>
          <w:lang w:eastAsia="it-IT"/>
        </w:rPr>
        <w:t>Tylor</w:t>
      </w:r>
      <w:proofErr w:type="spellEnd"/>
      <w:r w:rsidRPr="002A178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dà di cultura, essa designa non un “dover essere” che si può rintracciare nel concetto di civiltà ma un modo di essere collettivo.</w:t>
      </w:r>
    </w:p>
    <w:p w:rsidR="002A178E" w:rsidRPr="002A178E" w:rsidRDefault="002A178E" w:rsidP="002A17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178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L’opposto di cultura, intesa nel senso </w:t>
      </w:r>
      <w:proofErr w:type="spellStart"/>
      <w:r w:rsidRPr="002A178E">
        <w:rPr>
          <w:rFonts w:ascii="Times New Roman" w:eastAsia="Times New Roman" w:hAnsi="Times New Roman" w:cs="Times New Roman"/>
          <w:sz w:val="24"/>
          <w:szCs w:val="24"/>
          <w:lang w:eastAsia="it-IT"/>
        </w:rPr>
        <w:t>tyloriano</w:t>
      </w:r>
      <w:proofErr w:type="spellEnd"/>
      <w:r w:rsidRPr="002A178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è il concetto di </w:t>
      </w:r>
      <w:hyperlink r:id="rId15" w:tooltip="Natura" w:history="1">
        <w:r w:rsidRPr="002A17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natura</w:t>
        </w:r>
      </w:hyperlink>
      <w:r w:rsidRPr="002A178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Essa è universale perché è la base dell’uguaglianza di tutti gli uomini, uguali appunto perché condividono lo stesso patrimonio genetico e lo stesso destino biologico. Se la natura è universale, la cultura è particolare; e non a caso </w:t>
      </w:r>
      <w:proofErr w:type="spellStart"/>
      <w:r w:rsidRPr="002A178E">
        <w:rPr>
          <w:rFonts w:ascii="Times New Roman" w:eastAsia="Times New Roman" w:hAnsi="Times New Roman" w:cs="Times New Roman"/>
          <w:sz w:val="24"/>
          <w:szCs w:val="24"/>
          <w:lang w:eastAsia="it-IT"/>
        </w:rPr>
        <w:t>Tylor</w:t>
      </w:r>
      <w:proofErr w:type="spellEnd"/>
      <w:r w:rsidRPr="002A178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enfatizza il ruolo dei costumi e delle abitudini nella sua definizione di cultura, rispetto alla definizione illuminista di insieme di conoscenze (artistiche, filosofiche, giuridiche): l’arte, la morale, sono universali, laddove i costumi sono quanto di più particolare e locale esista. Nella sua definizione, </w:t>
      </w:r>
      <w:proofErr w:type="spellStart"/>
      <w:r w:rsidRPr="002A178E">
        <w:rPr>
          <w:rFonts w:ascii="Times New Roman" w:eastAsia="Times New Roman" w:hAnsi="Times New Roman" w:cs="Times New Roman"/>
          <w:sz w:val="24"/>
          <w:szCs w:val="24"/>
          <w:lang w:eastAsia="it-IT"/>
        </w:rPr>
        <w:t>Tylor</w:t>
      </w:r>
      <w:proofErr w:type="spellEnd"/>
      <w:r w:rsidRPr="002A178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pone l’accento inoltre sul termine “acquisito” che rimanda sempre al rapporto di esclusione reciproca tra natura e cultura: la cultura non si trasmette per via </w:t>
      </w:r>
      <w:hyperlink r:id="rId16" w:tooltip="Genetica" w:history="1">
        <w:r w:rsidRPr="002A17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genetica</w:t>
        </w:r>
      </w:hyperlink>
      <w:r w:rsidRPr="002A178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non è ereditaria e tale per nascita (come per il patrimonio biologico), ma viene appresa, acquisita appunto, dagli individui nel corso della loro vita, soprattutto nelle prime fasi. Questa acquisizione è inconsapevole e si basa sull’interazione sociale, sull’imitazione e l’inferenza: in antropologia il termine che definisce questo processo è </w:t>
      </w:r>
      <w:hyperlink r:id="rId17" w:tooltip="Inculturazione" w:history="1">
        <w:r w:rsidRPr="002A17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inculturazione</w:t>
        </w:r>
      </w:hyperlink>
      <w:r w:rsidRPr="002A178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L'antropologo </w:t>
      </w:r>
      <w:hyperlink r:id="rId18" w:tooltip="Alfred Kroeber" w:history="1">
        <w:r w:rsidRPr="002A17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Alfred </w:t>
        </w:r>
        <w:proofErr w:type="spellStart"/>
        <w:r w:rsidRPr="002A17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Kroeber</w:t>
        </w:r>
        <w:proofErr w:type="spellEnd"/>
      </w:hyperlink>
      <w:r w:rsidRPr="002A178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esplica la differenza tra natura e cultura sulla base del concetto di </w:t>
      </w:r>
      <w:hyperlink r:id="rId19" w:tooltip="Istinto" w:history="1">
        <w:r w:rsidRPr="002A17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istinto</w:t>
        </w:r>
      </w:hyperlink>
      <w:r w:rsidRPr="002A178E">
        <w:rPr>
          <w:rFonts w:ascii="Times New Roman" w:eastAsia="Times New Roman" w:hAnsi="Times New Roman" w:cs="Times New Roman"/>
          <w:sz w:val="24"/>
          <w:szCs w:val="24"/>
          <w:lang w:eastAsia="it-IT"/>
        </w:rPr>
        <w:t>, laddove l’istinto è qualcosa di «inciso internamente» in quanto parte del proprio corredo genetico, mentre la cultura è qualcosa che viene dal di fuori.</w:t>
      </w:r>
    </w:p>
    <w:p w:rsidR="002A178E" w:rsidRDefault="002A178E" w:rsidP="002A17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178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Nella sua definizione, infine, </w:t>
      </w:r>
      <w:proofErr w:type="spellStart"/>
      <w:r w:rsidRPr="002A178E">
        <w:rPr>
          <w:rFonts w:ascii="Times New Roman" w:eastAsia="Times New Roman" w:hAnsi="Times New Roman" w:cs="Times New Roman"/>
          <w:sz w:val="24"/>
          <w:szCs w:val="24"/>
          <w:lang w:eastAsia="it-IT"/>
        </w:rPr>
        <w:t>Tylor</w:t>
      </w:r>
      <w:proofErr w:type="spellEnd"/>
      <w:r w:rsidRPr="002A178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introduce una nozione molto importante, quella cioè di </w:t>
      </w:r>
      <w:r w:rsidRPr="002A178E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insieme complesso</w:t>
      </w:r>
      <w:r w:rsidRPr="002A178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Tutti quegli elementi citati da </w:t>
      </w:r>
      <w:proofErr w:type="spellStart"/>
      <w:r w:rsidRPr="002A178E">
        <w:rPr>
          <w:rFonts w:ascii="Times New Roman" w:eastAsia="Times New Roman" w:hAnsi="Times New Roman" w:cs="Times New Roman"/>
          <w:sz w:val="24"/>
          <w:szCs w:val="24"/>
          <w:lang w:eastAsia="it-IT"/>
        </w:rPr>
        <w:t>Tylor</w:t>
      </w:r>
      <w:proofErr w:type="spellEnd"/>
      <w:r w:rsidRPr="002A178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– costume, arte, morale, credenze ecc. – non sono slegati gli uni dagli altri ma costituiscono una totalità organizzata tale per cui la cultura è un tutto diverso dalla somma delle parti che la compongono. Con questa definizione </w:t>
      </w:r>
      <w:proofErr w:type="spellStart"/>
      <w:r w:rsidRPr="002A178E">
        <w:rPr>
          <w:rFonts w:ascii="Times New Roman" w:eastAsia="Times New Roman" w:hAnsi="Times New Roman" w:cs="Times New Roman"/>
          <w:sz w:val="24"/>
          <w:szCs w:val="24"/>
          <w:lang w:eastAsia="it-IT"/>
        </w:rPr>
        <w:t>Tylor</w:t>
      </w:r>
      <w:proofErr w:type="spellEnd"/>
      <w:r w:rsidRPr="002A178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sembra voler </w:t>
      </w:r>
      <w:proofErr w:type="spellStart"/>
      <w:r w:rsidRPr="002A178E">
        <w:rPr>
          <w:rFonts w:ascii="Times New Roman" w:eastAsia="Times New Roman" w:hAnsi="Times New Roman" w:cs="Times New Roman"/>
          <w:sz w:val="24"/>
          <w:szCs w:val="24"/>
          <w:lang w:eastAsia="it-IT"/>
        </w:rPr>
        <w:t>sostantivizzare</w:t>
      </w:r>
      <w:proofErr w:type="spellEnd"/>
      <w:r w:rsidRPr="002A178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cultura facendone qualcosa dotato di una propria realtà empirica; non è una supposizione errata vista la vicinanza di </w:t>
      </w:r>
      <w:proofErr w:type="spellStart"/>
      <w:r w:rsidRPr="002A178E">
        <w:rPr>
          <w:rFonts w:ascii="Times New Roman" w:eastAsia="Times New Roman" w:hAnsi="Times New Roman" w:cs="Times New Roman"/>
          <w:sz w:val="24"/>
          <w:szCs w:val="24"/>
          <w:lang w:eastAsia="it-IT"/>
        </w:rPr>
        <w:t>Tylor</w:t>
      </w:r>
      <w:proofErr w:type="spellEnd"/>
      <w:r w:rsidRPr="002A178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 </w:t>
      </w:r>
      <w:hyperlink r:id="rId20" w:tooltip="Positivismo" w:history="1">
        <w:r w:rsidRPr="002A17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positivismo</w:t>
        </w:r>
      </w:hyperlink>
      <w:r w:rsidRPr="002A178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che lo porta a conferire alla “cultura” lo status di fatto sociale che </w:t>
      </w:r>
      <w:hyperlink r:id="rId21" w:tooltip="Emile Durkheim" w:history="1">
        <w:r w:rsidRPr="002A17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Emile </w:t>
        </w:r>
        <w:proofErr w:type="spellStart"/>
        <w:r w:rsidRPr="002A17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Durkheim</w:t>
        </w:r>
        <w:proofErr w:type="spellEnd"/>
      </w:hyperlink>
      <w:r w:rsidRPr="002A178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teorizzerà poco più tardi.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”</w:t>
      </w:r>
    </w:p>
    <w:p w:rsidR="002A178E" w:rsidRPr="002A178E" w:rsidRDefault="002A178E" w:rsidP="002A17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Tratto da </w:t>
      </w:r>
      <w:hyperlink r:id="rId22" w:history="1">
        <w:r w:rsidRPr="000B0C7D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http://it.wikipedia.org/wiki/Edward_Burnett_Tylor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CD28FC" w:rsidRDefault="00CD28FC"/>
    <w:sectPr w:rsidR="00CD28FC" w:rsidSect="00CD28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D4718"/>
    <w:multiLevelType w:val="multilevel"/>
    <w:tmpl w:val="EED60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2A178E"/>
    <w:rsid w:val="002A178E"/>
    <w:rsid w:val="005635E1"/>
    <w:rsid w:val="00CD2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28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A178E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2A1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.wikipedia.org/wiki/Morale" TargetMode="External"/><Relationship Id="rId13" Type="http://schemas.openxmlformats.org/officeDocument/2006/relationships/hyperlink" Target="http://it.wikipedia.org/w/index.php?title=Gustav_Klemm&amp;action=edit&amp;redlink=1" TargetMode="External"/><Relationship Id="rId18" Type="http://schemas.openxmlformats.org/officeDocument/2006/relationships/hyperlink" Target="http://it.wikipedia.org/wiki/Alfred_Kroeber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t.wikipedia.org/wiki/Emile_Durkheim" TargetMode="External"/><Relationship Id="rId7" Type="http://schemas.openxmlformats.org/officeDocument/2006/relationships/hyperlink" Target="http://it.wikipedia.org/wiki/Arte" TargetMode="External"/><Relationship Id="rId12" Type="http://schemas.openxmlformats.org/officeDocument/2006/relationships/hyperlink" Target="http://it.wikipedia.org/wiki/Herbert_Spencer" TargetMode="External"/><Relationship Id="rId17" Type="http://schemas.openxmlformats.org/officeDocument/2006/relationships/hyperlink" Target="http://it.wikipedia.org/wiki/Inculturazione" TargetMode="External"/><Relationship Id="rId2" Type="http://schemas.openxmlformats.org/officeDocument/2006/relationships/styles" Target="styles.xml"/><Relationship Id="rId16" Type="http://schemas.openxmlformats.org/officeDocument/2006/relationships/hyperlink" Target="http://it.wikipedia.org/wiki/Genetica" TargetMode="External"/><Relationship Id="rId20" Type="http://schemas.openxmlformats.org/officeDocument/2006/relationships/hyperlink" Target="http://it.wikipedia.org/wiki/Positivism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t.wikipedia.org/wiki/Cultura" TargetMode="External"/><Relationship Id="rId11" Type="http://schemas.openxmlformats.org/officeDocument/2006/relationships/hyperlink" Target="http://it.wikipedia.org/wiki/Civilt%C3%A0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it.wikipedia.org/wiki/1871" TargetMode="External"/><Relationship Id="rId15" Type="http://schemas.openxmlformats.org/officeDocument/2006/relationships/hyperlink" Target="http://it.wikipedia.org/wiki/Natur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it.wikipedia.org/wiki/Societ%C3%A0" TargetMode="External"/><Relationship Id="rId19" Type="http://schemas.openxmlformats.org/officeDocument/2006/relationships/hyperlink" Target="http://it.wikipedia.org/wiki/Istint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t.wikipedia.org/wiki/Diritto" TargetMode="External"/><Relationship Id="rId14" Type="http://schemas.openxmlformats.org/officeDocument/2006/relationships/hyperlink" Target="http://it.wikipedia.org/wiki/Romanticismo" TargetMode="External"/><Relationship Id="rId22" Type="http://schemas.openxmlformats.org/officeDocument/2006/relationships/hyperlink" Target="http://it.wikipedia.org/wiki/Edward_Burnett_Tylor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765</Words>
  <Characters>4366</Characters>
  <Application>Microsoft Office Word</Application>
  <DocSecurity>0</DocSecurity>
  <Lines>36</Lines>
  <Paragraphs>10</Paragraphs>
  <ScaleCrop>false</ScaleCrop>
  <Company/>
  <LinksUpToDate>false</LinksUpToDate>
  <CharactersWithSpaces>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2010-10-28T21:11:00Z</dcterms:created>
  <dcterms:modified xsi:type="dcterms:W3CDTF">2010-10-28T21:12:00Z</dcterms:modified>
</cp:coreProperties>
</file>