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1B" w:rsidRPr="00FC528E" w:rsidRDefault="0076511B" w:rsidP="002E361D">
      <w:pPr>
        <w:pStyle w:val="Titre"/>
      </w:pPr>
      <w:r w:rsidRPr="00FC528E">
        <w:t>Qualité de vie</w:t>
      </w:r>
    </w:p>
    <w:p w:rsidR="0076511B" w:rsidRPr="00FC528E" w:rsidRDefault="0076511B" w:rsidP="002E361D">
      <w:pPr>
        <w:jc w:val="both"/>
      </w:pPr>
    </w:p>
    <w:p w:rsidR="00C008D1" w:rsidRPr="00FC528E" w:rsidRDefault="00C045E6" w:rsidP="002E361D">
      <w:pPr>
        <w:spacing w:line="360" w:lineRule="auto"/>
        <w:ind w:firstLine="708"/>
        <w:jc w:val="both"/>
      </w:pPr>
      <w:r w:rsidRPr="00FC528E">
        <w:t>D’un point de vue ergothérapique, l</w:t>
      </w:r>
      <w:r w:rsidR="00F81CCD" w:rsidRPr="00FC528E">
        <w:t>a qualité de vie est une mesure de la façon dont la vie d’une personne répond à ses attentes</w:t>
      </w:r>
      <w:r w:rsidRPr="00FC528E">
        <w:t xml:space="preserve"> présentes et futures</w:t>
      </w:r>
      <w:r w:rsidR="00F81CCD" w:rsidRPr="00FC528E">
        <w:t xml:space="preserve">. En d’autres termes, quelqu’un qui a une </w:t>
      </w:r>
      <w:r w:rsidRPr="00FC528E">
        <w:t xml:space="preserve">bonne qualité de </w:t>
      </w:r>
      <w:r w:rsidR="00385706" w:rsidRPr="00FC528E">
        <w:t xml:space="preserve">vie </w:t>
      </w:r>
      <w:r w:rsidRPr="00FC528E">
        <w:t>pourra faire des choix et participer à des occupations qui lui procureront un sentiment de bien-être et de pouvoir d’action dans l’immédiat de manière à créer une vision dynamique de la vie qui entretient l’espoir de changeme</w:t>
      </w:r>
      <w:r w:rsidR="00923AF9">
        <w:t xml:space="preserve">nt et engendre de la motivation </w:t>
      </w:r>
      <w:r w:rsidR="00385706" w:rsidRPr="00FC528E">
        <w:t>(ACE, 2007)</w:t>
      </w:r>
      <w:r w:rsidR="00923AF9">
        <w:t>.</w:t>
      </w:r>
      <w:r w:rsidR="00385706" w:rsidRPr="00FC528E">
        <w:t xml:space="preserve"> Ce que l’on note dans cette définition, c’est qu</w:t>
      </w:r>
      <w:r w:rsidR="00923AF9">
        <w:t>’</w:t>
      </w:r>
      <w:r w:rsidR="00385706" w:rsidRPr="00FC528E">
        <w:t>e</w:t>
      </w:r>
      <w:r w:rsidR="00923AF9">
        <w:t>lle s’appuie sur le</w:t>
      </w:r>
      <w:r w:rsidR="00385706" w:rsidRPr="00FC528E">
        <w:t xml:space="preserve"> sentiment de puissance que la personne a sur sa vie. Cela nous incite à préciser le concept de qualité de vie comme étant la mesure du contrôle qu’une personne </w:t>
      </w:r>
      <w:r w:rsidR="002E361D">
        <w:t>croit</w:t>
      </w:r>
      <w:r w:rsidR="00385706" w:rsidRPr="00FC528E">
        <w:t xml:space="preserve"> avoir sur sa vie.</w:t>
      </w:r>
      <w:r w:rsidR="008236E0" w:rsidRPr="00FC528E">
        <w:t xml:space="preserve"> </w:t>
      </w:r>
      <w:r w:rsidR="00385706" w:rsidRPr="00FC528E">
        <w:t>Alors que la définition initiale donne à la personne un rôle d’observateur, la deuxième la présente plutôt comme acteur et m</w:t>
      </w:r>
      <w:r w:rsidR="00A8780C" w:rsidRPr="00FC528E">
        <w:t>aître de sa qualité de vie. Ce n’est pas à la vie à répondre à nos attentes, mais bien à nous de s’assurer que nos attentes soient satisfaites.</w:t>
      </w:r>
      <w:r w:rsidR="008236E0" w:rsidRPr="00FC528E">
        <w:t xml:space="preserve"> Notons que formulé </w:t>
      </w:r>
      <w:r w:rsidR="007B7FFA">
        <w:t>comme telle</w:t>
      </w:r>
      <w:r w:rsidR="008236E0" w:rsidRPr="00FC528E">
        <w:t>, on perçoit une forte influence de la culture o</w:t>
      </w:r>
      <w:r w:rsidR="00923AF9">
        <w:t>ccidentale à travers ce concept</w:t>
      </w:r>
      <w:r w:rsidR="008236E0" w:rsidRPr="00FC528E">
        <w:t xml:space="preserve"> (McGruger,</w:t>
      </w:r>
      <w:r w:rsidR="00923AF9">
        <w:t xml:space="preserve"> </w:t>
      </w:r>
      <w:r w:rsidR="008236E0" w:rsidRPr="00FC528E">
        <w:t>2008)</w:t>
      </w:r>
      <w:r w:rsidR="00923AF9">
        <w:t>.</w:t>
      </w:r>
    </w:p>
    <w:p w:rsidR="00A8780C" w:rsidRPr="00FC528E" w:rsidRDefault="00A8780C" w:rsidP="002E361D">
      <w:pPr>
        <w:spacing w:line="360" w:lineRule="auto"/>
        <w:jc w:val="both"/>
      </w:pPr>
    </w:p>
    <w:p w:rsidR="003B75B0" w:rsidRPr="00FC528E" w:rsidRDefault="00A8780C" w:rsidP="002E361D">
      <w:pPr>
        <w:spacing w:line="360" w:lineRule="auto"/>
        <w:jc w:val="both"/>
      </w:pPr>
      <w:r w:rsidRPr="00FC528E">
        <w:t>Certains facteurs tel</w:t>
      </w:r>
      <w:r w:rsidR="007B7FFA">
        <w:t>s</w:t>
      </w:r>
      <w:r w:rsidRPr="00FC528E">
        <w:t xml:space="preserve"> la santé et le rendement occupationnel affectent la qualité de vie</w:t>
      </w:r>
      <w:r w:rsidR="00071489" w:rsidRPr="00FC528E">
        <w:t xml:space="preserve"> de par leur convergence</w:t>
      </w:r>
      <w:r w:rsidRPr="00FC528E">
        <w:t xml:space="preserve">. </w:t>
      </w:r>
      <w:r w:rsidR="00071489" w:rsidRPr="00FC528E">
        <w:t>En effet, l</w:t>
      </w:r>
      <w:r w:rsidR="000F3F28" w:rsidRPr="00FC528E">
        <w:t xml:space="preserve">es </w:t>
      </w:r>
      <w:r w:rsidRPr="00FC528E">
        <w:t>définition</w:t>
      </w:r>
      <w:r w:rsidR="000F3F28" w:rsidRPr="00FC528E">
        <w:t>s de</w:t>
      </w:r>
      <w:r w:rsidR="00071489" w:rsidRPr="00FC528E">
        <w:t xml:space="preserve"> santé, </w:t>
      </w:r>
      <w:r w:rsidR="000F3F28" w:rsidRPr="00FC528E">
        <w:t>de rendement occupationnel</w:t>
      </w:r>
      <w:r w:rsidR="00071489" w:rsidRPr="00FC528E">
        <w:t xml:space="preserve"> et de qualité de vie</w:t>
      </w:r>
      <w:r w:rsidR="000F3F28" w:rsidRPr="00FC528E">
        <w:t xml:space="preserve"> sont très semblables </w:t>
      </w:r>
      <w:r w:rsidR="00071489" w:rsidRPr="00FC528E">
        <w:t>entre elles dans le sens que les trois</w:t>
      </w:r>
      <w:r w:rsidR="000F3F28" w:rsidRPr="00FC528E">
        <w:t xml:space="preserve"> réfèrent à la possibilité de faire des choix et de participer à des occupations afin de promouvoir le </w:t>
      </w:r>
      <w:r w:rsidR="007B7FFA">
        <w:t>bien-être</w:t>
      </w:r>
      <w:r w:rsidR="009F6FAC" w:rsidRPr="00FC528E">
        <w:t xml:space="preserve"> (</w:t>
      </w:r>
      <w:r w:rsidRPr="00FC528E">
        <w:t>ACE, 2007)</w:t>
      </w:r>
      <w:r w:rsidR="009F6FAC" w:rsidRPr="00FC528E">
        <w:t>.</w:t>
      </w:r>
      <w:r w:rsidR="003B75B0" w:rsidRPr="00FC528E">
        <w:t xml:space="preserve"> Ainsi, si un de ces trois éléments est affecté, les deux autres le </w:t>
      </w:r>
      <w:proofErr w:type="gramStart"/>
      <w:r w:rsidR="003B75B0" w:rsidRPr="00FC528E">
        <w:t>sont</w:t>
      </w:r>
      <w:proofErr w:type="gramEnd"/>
      <w:r w:rsidR="003B75B0" w:rsidRPr="00FC528E">
        <w:t xml:space="preserve"> aussi.</w:t>
      </w:r>
    </w:p>
    <w:p w:rsidR="003B75B0" w:rsidRPr="00FC528E" w:rsidRDefault="003B75B0" w:rsidP="002E361D">
      <w:pPr>
        <w:spacing w:line="360" w:lineRule="auto"/>
        <w:jc w:val="both"/>
      </w:pPr>
    </w:p>
    <w:p w:rsidR="00A8780C" w:rsidRPr="00FC528E" w:rsidRDefault="003B75B0" w:rsidP="002E361D">
      <w:pPr>
        <w:spacing w:line="360" w:lineRule="auto"/>
        <w:jc w:val="both"/>
      </w:pPr>
      <w:r w:rsidRPr="00FC528E">
        <w:t>Toutefois, l</w:t>
      </w:r>
      <w:r w:rsidR="00071489" w:rsidRPr="00FC528E">
        <w:t xml:space="preserve">a santé se </w:t>
      </w:r>
      <w:r w:rsidR="000F3F28" w:rsidRPr="00FC528E">
        <w:t>différenc</w:t>
      </w:r>
      <w:r w:rsidR="00071489" w:rsidRPr="00FC528E">
        <w:t xml:space="preserve">ie du rendement </w:t>
      </w:r>
      <w:r w:rsidR="007B7FFA">
        <w:t>occupationnel,</w:t>
      </w:r>
      <w:r w:rsidR="00071489" w:rsidRPr="00FC528E">
        <w:t xml:space="preserve"> car ce dernier</w:t>
      </w:r>
      <w:r w:rsidR="00AA7966" w:rsidRPr="00FC528E">
        <w:t xml:space="preserve"> prend en compte d</w:t>
      </w:r>
      <w:r w:rsidR="000F3F28" w:rsidRPr="00FC528E">
        <w:t>es facteurs extrinsèques à la personne étant le résultat d’un rapport dynamique entre l’environnement,</w:t>
      </w:r>
      <w:r w:rsidR="00CC1F93" w:rsidRPr="00FC528E">
        <w:t xml:space="preserve"> l’occupation et la person</w:t>
      </w:r>
      <w:r w:rsidR="00AA7966" w:rsidRPr="00FC528E">
        <w:t xml:space="preserve">ne. La santé, pouvant aussi être décrite comme un état de </w:t>
      </w:r>
      <w:r w:rsidR="007B7FFA">
        <w:t>bien-être</w:t>
      </w:r>
      <w:r w:rsidR="00AA7966" w:rsidRPr="00FC528E">
        <w:t xml:space="preserve"> physique, me</w:t>
      </w:r>
      <w:r w:rsidR="00923AF9">
        <w:t>ntal et social (</w:t>
      </w:r>
      <w:proofErr w:type="spellStart"/>
      <w:r w:rsidR="00923AF9">
        <w:t>Crepeau</w:t>
      </w:r>
      <w:proofErr w:type="spellEnd"/>
      <w:r w:rsidR="00923AF9">
        <w:t xml:space="preserve">, Cohn &amp; </w:t>
      </w:r>
      <w:proofErr w:type="spellStart"/>
      <w:r w:rsidR="00923AF9">
        <w:t>Schell</w:t>
      </w:r>
      <w:proofErr w:type="spellEnd"/>
      <w:r w:rsidR="00923AF9">
        <w:t>, 2008</w:t>
      </w:r>
      <w:r w:rsidR="00AA7966" w:rsidRPr="00FC528E">
        <w:t>), s’attarde plutôt à la personne elle-même. Le rendement occupationnel</w:t>
      </w:r>
      <w:r w:rsidR="00071489" w:rsidRPr="00FC528E">
        <w:t xml:space="preserve"> et la santé peuvent</w:t>
      </w:r>
      <w:r w:rsidR="00AA7966" w:rsidRPr="00FC528E">
        <w:t xml:space="preserve"> sembler aussi très </w:t>
      </w:r>
      <w:r w:rsidR="00071489" w:rsidRPr="00FC528E">
        <w:t>proches</w:t>
      </w:r>
      <w:r w:rsidR="00AA7966" w:rsidRPr="00FC528E">
        <w:t xml:space="preserve"> de la qualité de vie</w:t>
      </w:r>
      <w:r w:rsidRPr="00FC528E">
        <w:t>,</w:t>
      </w:r>
      <w:r w:rsidR="00071489" w:rsidRPr="00FC528E">
        <w:t xml:space="preserve"> mais ils s’en distinguent par leur caractère plus obje</w:t>
      </w:r>
      <w:r w:rsidR="00923AF9">
        <w:t>ctif (</w:t>
      </w:r>
      <w:proofErr w:type="spellStart"/>
      <w:r w:rsidR="00923AF9">
        <w:t>Youngstrom</w:t>
      </w:r>
      <w:proofErr w:type="spellEnd"/>
      <w:r w:rsidR="00923AF9">
        <w:t xml:space="preserve"> &amp; </w:t>
      </w:r>
      <w:r w:rsidR="00F76137" w:rsidRPr="00FC528E">
        <w:t>Brown, 2005)</w:t>
      </w:r>
      <w:r w:rsidR="00923AF9">
        <w:t>.</w:t>
      </w:r>
      <w:r w:rsidR="00071489" w:rsidRPr="00FC528E">
        <w:t xml:space="preserve"> Un médecin peut déterminer si quelqu’un est </w:t>
      </w:r>
      <w:r w:rsidR="00071489" w:rsidRPr="00FC528E">
        <w:lastRenderedPageBreak/>
        <w:t>en santé</w:t>
      </w:r>
      <w:r w:rsidR="008257D3" w:rsidRPr="00FC528E">
        <w:t xml:space="preserve"> bien que celle-ci soit plus que l’absence de maladie</w:t>
      </w:r>
      <w:r w:rsidR="00071489" w:rsidRPr="00FC528E">
        <w:t xml:space="preserve"> et un ergothérapeute peut évaluer le rendement occupationnel</w:t>
      </w:r>
      <w:r w:rsidRPr="00FC528E">
        <w:t>, mais seule la personne peut discuter de sa qualité de vie.</w:t>
      </w:r>
    </w:p>
    <w:p w:rsidR="003B75B0" w:rsidRPr="00FC528E" w:rsidRDefault="003B75B0" w:rsidP="002E361D">
      <w:pPr>
        <w:spacing w:line="360" w:lineRule="auto"/>
        <w:jc w:val="both"/>
      </w:pPr>
    </w:p>
    <w:p w:rsidR="003B75B0" w:rsidRPr="00FC528E" w:rsidRDefault="008257D3" w:rsidP="002E361D">
      <w:pPr>
        <w:spacing w:line="360" w:lineRule="auto"/>
        <w:jc w:val="both"/>
      </w:pPr>
      <w:r w:rsidRPr="00FC528E">
        <w:t>Dans la vignette clinique</w:t>
      </w:r>
      <w:r w:rsidR="003B75B0" w:rsidRPr="00FC528E">
        <w:t>,</w:t>
      </w:r>
      <w:r w:rsidRPr="00FC528E">
        <w:t xml:space="preserve"> on peut relever des indices relatifs à la qualité de vie de M. </w:t>
      </w:r>
      <w:proofErr w:type="spellStart"/>
      <w:r w:rsidRPr="00FC528E">
        <w:t>Khami</w:t>
      </w:r>
      <w:proofErr w:type="spellEnd"/>
      <w:r w:rsidRPr="00FC528E">
        <w:t xml:space="preserve">. </w:t>
      </w:r>
      <w:r w:rsidR="005221DB" w:rsidRPr="00FC528E">
        <w:t xml:space="preserve">Ce dernier dit être dévasté et ne pas voir de solution à son problème. Cela nous révèle que les occupations auxquelles s’adonne M. </w:t>
      </w:r>
      <w:proofErr w:type="spellStart"/>
      <w:r w:rsidR="005221DB" w:rsidRPr="00FC528E">
        <w:t>Khami</w:t>
      </w:r>
      <w:proofErr w:type="spellEnd"/>
      <w:r w:rsidR="005221DB" w:rsidRPr="00FC528E">
        <w:t xml:space="preserve"> ne lui procurent pas un sentiment de </w:t>
      </w:r>
      <w:r w:rsidR="007B7FFA">
        <w:t>bien-être</w:t>
      </w:r>
      <w:r w:rsidR="005221DB" w:rsidRPr="00FC528E">
        <w:t xml:space="preserve"> et encore moins de l’espoir et de la motivation. De plus, M. </w:t>
      </w:r>
      <w:proofErr w:type="spellStart"/>
      <w:r w:rsidR="005221DB" w:rsidRPr="00FC528E">
        <w:t>Khami</w:t>
      </w:r>
      <w:proofErr w:type="spellEnd"/>
      <w:r w:rsidR="005221DB" w:rsidRPr="00FC528E">
        <w:t xml:space="preserve"> ne perçoit pas qu’il est en contrôle de sa vie comme il ne voit pas de solution à son problème. Il n’a évidemment pas une bonne qualité de vie.</w:t>
      </w:r>
    </w:p>
    <w:p w:rsidR="006A5841" w:rsidRPr="00FC528E" w:rsidRDefault="006A5841" w:rsidP="002E361D">
      <w:pPr>
        <w:spacing w:line="360" w:lineRule="auto"/>
        <w:jc w:val="both"/>
      </w:pPr>
    </w:p>
    <w:p w:rsidR="006A5841" w:rsidRPr="00FC528E" w:rsidRDefault="00F76137" w:rsidP="002E361D">
      <w:pPr>
        <w:spacing w:line="360" w:lineRule="auto"/>
        <w:jc w:val="both"/>
      </w:pPr>
      <w:r w:rsidRPr="00FC528E">
        <w:t xml:space="preserve">Par ses interventions, l’ergothérapeute vise à améliorer indirectement la qualité de vie de ses clients. Concrètement, il fait la promotion de l’occupation, prévient des difficultés </w:t>
      </w:r>
      <w:r w:rsidR="007B7FFA">
        <w:t>occupationnelles</w:t>
      </w:r>
      <w:r w:rsidRPr="00FC528E">
        <w:t xml:space="preserve"> ou les résout</w:t>
      </w:r>
      <w:r w:rsidR="009361EC" w:rsidRPr="00FC528E">
        <w:t xml:space="preserve"> en collaboration avec le client</w:t>
      </w:r>
      <w:r w:rsidR="00923AF9">
        <w:t>. (</w:t>
      </w:r>
      <w:proofErr w:type="spellStart"/>
      <w:r w:rsidR="00923AF9">
        <w:t>Youngstrom</w:t>
      </w:r>
      <w:proofErr w:type="spellEnd"/>
      <w:r w:rsidR="00923AF9">
        <w:t xml:space="preserve"> &amp;</w:t>
      </w:r>
      <w:r w:rsidRPr="00FC528E">
        <w:t xml:space="preserve"> Brown, 2005).</w:t>
      </w:r>
      <w:r w:rsidR="009361EC" w:rsidRPr="00FC528E">
        <w:t xml:space="preserve"> Prévenir une situation de se produire, rétablir une situation problématique ou participer à des occupations significatives </w:t>
      </w:r>
      <w:r w:rsidR="007B7FFA">
        <w:t>procure</w:t>
      </w:r>
      <w:r w:rsidR="009361EC" w:rsidRPr="00FC528E">
        <w:t xml:space="preserve"> un sentiment de contrôle sur sa vie, et par conséquent favorise une meilleure qualité de vie.</w:t>
      </w:r>
      <w:r w:rsidR="00101D8D">
        <w:t xml:space="preserve"> </w:t>
      </w:r>
      <w:r w:rsidR="00923AF9">
        <w:t xml:space="preserve">Un ergothérapeute pourrait travailler avec </w:t>
      </w:r>
      <w:r w:rsidR="00236932">
        <w:t>M</w:t>
      </w:r>
      <w:r w:rsidR="00923AF9">
        <w:t xml:space="preserve">. </w:t>
      </w:r>
      <w:proofErr w:type="spellStart"/>
      <w:r w:rsidR="00923AF9">
        <w:t>Khami</w:t>
      </w:r>
      <w:proofErr w:type="spellEnd"/>
      <w:r w:rsidR="00923AF9">
        <w:t xml:space="preserve"> pour l’aider à résoudre ses difficultés occupationnelles et pour l’aider à reprendre sa vie en main.</w:t>
      </w:r>
    </w:p>
    <w:p w:rsidR="006A5841" w:rsidRPr="00FC528E" w:rsidRDefault="006A5841" w:rsidP="007B7FFA">
      <w:pPr>
        <w:jc w:val="both"/>
      </w:pPr>
    </w:p>
    <w:p w:rsidR="006A5841" w:rsidRPr="00FC528E" w:rsidRDefault="006A5841" w:rsidP="007B7FFA">
      <w:pPr>
        <w:jc w:val="both"/>
      </w:pPr>
    </w:p>
    <w:p w:rsidR="008236E0" w:rsidRPr="00FC528E" w:rsidRDefault="008236E0" w:rsidP="007B7FFA">
      <w:pPr>
        <w:jc w:val="both"/>
      </w:pPr>
    </w:p>
    <w:p w:rsidR="008236E0" w:rsidRDefault="008236E0" w:rsidP="007B7FFA">
      <w:pPr>
        <w:jc w:val="both"/>
      </w:pPr>
    </w:p>
    <w:p w:rsidR="002E361D" w:rsidRDefault="002E361D" w:rsidP="007B7FFA">
      <w:pPr>
        <w:jc w:val="both"/>
      </w:pPr>
    </w:p>
    <w:p w:rsidR="002E361D" w:rsidRDefault="002E361D" w:rsidP="007B7FFA">
      <w:pPr>
        <w:jc w:val="both"/>
      </w:pPr>
    </w:p>
    <w:p w:rsidR="002E361D" w:rsidRDefault="002E361D" w:rsidP="007B7FFA">
      <w:pPr>
        <w:jc w:val="both"/>
      </w:pPr>
    </w:p>
    <w:p w:rsidR="002E361D" w:rsidRDefault="002E361D" w:rsidP="007B7FFA">
      <w:pPr>
        <w:jc w:val="both"/>
      </w:pPr>
    </w:p>
    <w:p w:rsidR="002E361D" w:rsidRDefault="002E361D" w:rsidP="007B7FFA">
      <w:pPr>
        <w:jc w:val="both"/>
      </w:pPr>
    </w:p>
    <w:p w:rsidR="002E361D" w:rsidRDefault="002E361D" w:rsidP="007B7FFA">
      <w:pPr>
        <w:jc w:val="both"/>
      </w:pPr>
    </w:p>
    <w:p w:rsidR="002E361D" w:rsidRDefault="002E361D" w:rsidP="007B7FFA">
      <w:pPr>
        <w:jc w:val="both"/>
      </w:pPr>
    </w:p>
    <w:p w:rsidR="002E361D" w:rsidRDefault="002E361D" w:rsidP="007B7FFA">
      <w:pPr>
        <w:jc w:val="both"/>
      </w:pPr>
    </w:p>
    <w:p w:rsidR="002E361D" w:rsidRDefault="002E361D" w:rsidP="007B7FFA">
      <w:pPr>
        <w:jc w:val="both"/>
      </w:pPr>
    </w:p>
    <w:p w:rsidR="002E361D" w:rsidRDefault="002E361D" w:rsidP="007B7FFA">
      <w:pPr>
        <w:jc w:val="both"/>
      </w:pPr>
    </w:p>
    <w:p w:rsidR="002E361D" w:rsidRDefault="002E361D" w:rsidP="007B7FFA">
      <w:pPr>
        <w:jc w:val="both"/>
      </w:pPr>
    </w:p>
    <w:p w:rsidR="002E361D" w:rsidRDefault="002E361D" w:rsidP="007B7FFA">
      <w:pPr>
        <w:jc w:val="both"/>
      </w:pPr>
    </w:p>
    <w:p w:rsidR="002E361D" w:rsidRDefault="002E361D" w:rsidP="007B7FFA">
      <w:pPr>
        <w:jc w:val="both"/>
      </w:pPr>
    </w:p>
    <w:p w:rsidR="002E361D" w:rsidRPr="00FC528E" w:rsidRDefault="002E361D" w:rsidP="007B7FFA">
      <w:pPr>
        <w:jc w:val="both"/>
      </w:pPr>
    </w:p>
    <w:p w:rsidR="008236E0" w:rsidRPr="002E361D" w:rsidRDefault="002E361D" w:rsidP="002E361D">
      <w:pPr>
        <w:jc w:val="center"/>
        <w:rPr>
          <w:rFonts w:ascii="Cambria" w:hAnsi="Cambria"/>
          <w:b/>
          <w:color w:val="548DD4" w:themeColor="text2" w:themeTint="99"/>
          <w:sz w:val="26"/>
          <w:szCs w:val="26"/>
        </w:rPr>
      </w:pPr>
      <w:r w:rsidRPr="002E361D">
        <w:rPr>
          <w:rFonts w:ascii="Cambria" w:hAnsi="Cambria"/>
          <w:b/>
          <w:color w:val="548DD4" w:themeColor="text2" w:themeTint="99"/>
          <w:sz w:val="26"/>
          <w:szCs w:val="26"/>
        </w:rPr>
        <w:lastRenderedPageBreak/>
        <w:t>Référence</w:t>
      </w:r>
    </w:p>
    <w:p w:rsidR="008236E0" w:rsidRPr="00FC528E" w:rsidRDefault="008236E0" w:rsidP="007B7FFA">
      <w:pPr>
        <w:jc w:val="both"/>
      </w:pPr>
    </w:p>
    <w:p w:rsidR="00923AF9" w:rsidRPr="00FC528E" w:rsidRDefault="00923AF9" w:rsidP="002E361D">
      <w:pPr>
        <w:spacing w:line="276" w:lineRule="auto"/>
        <w:jc w:val="both"/>
      </w:pPr>
      <w:r w:rsidRPr="00FC528E">
        <w:t xml:space="preserve">Association canadienne des ergothérapeutes. 2007. </w:t>
      </w:r>
      <w:r w:rsidRPr="00923AF9">
        <w:rPr>
          <w:i/>
        </w:rPr>
        <w:t>Profil de la pratique de l’ergothérapie au Canada</w:t>
      </w:r>
      <w:r w:rsidRPr="00FC528E">
        <w:t xml:space="preserve">. </w:t>
      </w:r>
      <w:r>
        <w:t xml:space="preserve">Repéré à </w:t>
      </w:r>
      <w:r w:rsidRPr="00FC528E">
        <w:t>http://w</w:t>
      </w:r>
      <w:r>
        <w:t xml:space="preserve">ww.caot.ca/pdfs/otprofilefr.pdf. </w:t>
      </w:r>
    </w:p>
    <w:p w:rsidR="00923AF9" w:rsidRDefault="00923AF9" w:rsidP="002E361D">
      <w:pPr>
        <w:spacing w:line="276" w:lineRule="auto"/>
        <w:jc w:val="both"/>
      </w:pPr>
    </w:p>
    <w:p w:rsidR="008236E0" w:rsidRDefault="008236E0" w:rsidP="002E361D">
      <w:pPr>
        <w:spacing w:line="276" w:lineRule="auto"/>
        <w:jc w:val="both"/>
        <w:rPr>
          <w:lang w:val="en-US"/>
        </w:rPr>
      </w:pPr>
      <w:proofErr w:type="spellStart"/>
      <w:r w:rsidRPr="00FC528E">
        <w:t>Crepeau</w:t>
      </w:r>
      <w:proofErr w:type="spellEnd"/>
      <w:r w:rsidRPr="00FC528E">
        <w:t xml:space="preserve">, E. B., Cohn, E.S., et </w:t>
      </w:r>
      <w:proofErr w:type="spellStart"/>
      <w:r w:rsidRPr="00FC528E">
        <w:t>Schell</w:t>
      </w:r>
      <w:proofErr w:type="spellEnd"/>
      <w:r w:rsidRPr="00FC528E">
        <w:t xml:space="preserve">, B.A.B. (2008). </w:t>
      </w:r>
      <w:r w:rsidRPr="00FC528E">
        <w:rPr>
          <w:i/>
          <w:lang w:val="en-US"/>
        </w:rPr>
        <w:t xml:space="preserve">Willard and </w:t>
      </w:r>
      <w:proofErr w:type="spellStart"/>
      <w:r w:rsidRPr="00FC528E">
        <w:rPr>
          <w:i/>
          <w:lang w:val="en-US"/>
        </w:rPr>
        <w:t>Spackman’s</w:t>
      </w:r>
      <w:proofErr w:type="spellEnd"/>
      <w:r w:rsidRPr="00FC528E">
        <w:rPr>
          <w:i/>
          <w:lang w:val="en-US"/>
        </w:rPr>
        <w:t xml:space="preserve"> occupational therapy</w:t>
      </w:r>
      <w:r w:rsidRPr="00FC528E">
        <w:rPr>
          <w:lang w:val="en-US"/>
        </w:rPr>
        <w:t xml:space="preserve"> (11</w:t>
      </w:r>
      <w:r w:rsidRPr="00FC528E">
        <w:rPr>
          <w:vertAlign w:val="superscript"/>
          <w:lang w:val="en-US"/>
        </w:rPr>
        <w:t>e</w:t>
      </w:r>
      <w:r w:rsidRPr="00FC528E">
        <w:rPr>
          <w:lang w:val="en-US"/>
        </w:rPr>
        <w:t xml:space="preserve"> </w:t>
      </w:r>
      <w:proofErr w:type="gramStart"/>
      <w:r w:rsidRPr="00FC528E">
        <w:rPr>
          <w:lang w:val="en-US"/>
        </w:rPr>
        <w:t>ed</w:t>
      </w:r>
      <w:proofErr w:type="gramEnd"/>
      <w:r w:rsidRPr="00FC528E">
        <w:rPr>
          <w:lang w:val="en-US"/>
        </w:rPr>
        <w:t xml:space="preserve">.). </w:t>
      </w:r>
      <w:proofErr w:type="spellStart"/>
      <w:r w:rsidRPr="00FC528E">
        <w:rPr>
          <w:lang w:val="en-US"/>
        </w:rPr>
        <w:t>Philadelphie</w:t>
      </w:r>
      <w:proofErr w:type="spellEnd"/>
      <w:r w:rsidRPr="00FC528E">
        <w:rPr>
          <w:lang w:val="en-US"/>
        </w:rPr>
        <w:t xml:space="preserve">: Lippincott Williams &amp; </w:t>
      </w:r>
      <w:proofErr w:type="spellStart"/>
      <w:r w:rsidRPr="00FC528E">
        <w:rPr>
          <w:lang w:val="en-US"/>
        </w:rPr>
        <w:t>Wilckins</w:t>
      </w:r>
      <w:proofErr w:type="spellEnd"/>
      <w:r w:rsidRPr="00FC528E">
        <w:rPr>
          <w:lang w:val="en-US"/>
        </w:rPr>
        <w:t>.</w:t>
      </w:r>
    </w:p>
    <w:p w:rsidR="00FC528E" w:rsidRPr="00FC528E" w:rsidRDefault="00FC528E" w:rsidP="002E361D">
      <w:pPr>
        <w:spacing w:line="276" w:lineRule="auto"/>
        <w:jc w:val="both"/>
        <w:rPr>
          <w:lang w:val="en-US"/>
        </w:rPr>
      </w:pPr>
    </w:p>
    <w:p w:rsidR="00687CC1" w:rsidRPr="00FC528E" w:rsidRDefault="00687CC1" w:rsidP="002E361D">
      <w:pPr>
        <w:spacing w:line="276" w:lineRule="auto"/>
        <w:jc w:val="both"/>
        <w:rPr>
          <w:lang w:val="nl-NL"/>
        </w:rPr>
      </w:pPr>
      <w:proofErr w:type="spellStart"/>
      <w:r w:rsidRPr="00FC528E">
        <w:rPr>
          <w:lang w:val="en-US"/>
        </w:rPr>
        <w:t>McGruder</w:t>
      </w:r>
      <w:proofErr w:type="spellEnd"/>
      <w:r w:rsidRPr="00FC528E">
        <w:rPr>
          <w:lang w:val="en-US"/>
        </w:rPr>
        <w:t xml:space="preserve">, J. (2008). </w:t>
      </w:r>
      <w:proofErr w:type="gramStart"/>
      <w:r w:rsidRPr="00FC528E">
        <w:rPr>
          <w:lang w:val="en-US"/>
        </w:rPr>
        <w:t>Culture, race, ethnicity and other forms of human diversity in occupational therapy.</w:t>
      </w:r>
      <w:proofErr w:type="gramEnd"/>
      <w:r w:rsidRPr="00FC528E">
        <w:rPr>
          <w:lang w:val="en-US"/>
        </w:rPr>
        <w:t xml:space="preserve"> </w:t>
      </w:r>
      <w:proofErr w:type="spellStart"/>
      <w:r w:rsidRPr="00FC528E">
        <w:rPr>
          <w:lang w:val="en-US"/>
        </w:rPr>
        <w:t>Dans</w:t>
      </w:r>
      <w:proofErr w:type="spellEnd"/>
      <w:r w:rsidRPr="00FC528E">
        <w:rPr>
          <w:lang w:val="en-US"/>
        </w:rPr>
        <w:t xml:space="preserve"> E. B. </w:t>
      </w:r>
      <w:proofErr w:type="spellStart"/>
      <w:r w:rsidRPr="00FC528E">
        <w:rPr>
          <w:lang w:val="en-US"/>
        </w:rPr>
        <w:t>Crepeau</w:t>
      </w:r>
      <w:proofErr w:type="spellEnd"/>
      <w:r w:rsidRPr="00FC528E">
        <w:rPr>
          <w:lang w:val="en-US"/>
        </w:rPr>
        <w:t xml:space="preserve">, E. S. Cohn, et B. A. B. Schell (Eds.), </w:t>
      </w:r>
      <w:r w:rsidRPr="00FC528E">
        <w:rPr>
          <w:i/>
          <w:lang w:val="en-US"/>
        </w:rPr>
        <w:t xml:space="preserve">Willard and </w:t>
      </w:r>
      <w:proofErr w:type="spellStart"/>
      <w:r w:rsidRPr="00FC528E">
        <w:rPr>
          <w:i/>
          <w:lang w:val="en-US"/>
        </w:rPr>
        <w:t>Spackman’s</w:t>
      </w:r>
      <w:proofErr w:type="spellEnd"/>
      <w:r w:rsidRPr="00FC528E">
        <w:rPr>
          <w:i/>
          <w:lang w:val="en-US"/>
        </w:rPr>
        <w:t xml:space="preserve"> occupational therapy</w:t>
      </w:r>
      <w:r w:rsidRPr="00FC528E">
        <w:rPr>
          <w:b/>
          <w:lang w:val="en-US"/>
        </w:rPr>
        <w:t xml:space="preserve"> </w:t>
      </w:r>
      <w:r w:rsidRPr="00FC528E">
        <w:rPr>
          <w:lang w:val="en-US"/>
        </w:rPr>
        <w:t>(11</w:t>
      </w:r>
      <w:r w:rsidRPr="00FC528E">
        <w:rPr>
          <w:vertAlign w:val="superscript"/>
          <w:lang w:val="en-US"/>
        </w:rPr>
        <w:t>e</w:t>
      </w:r>
      <w:r w:rsidRPr="00FC528E">
        <w:rPr>
          <w:lang w:val="en-US"/>
        </w:rPr>
        <w:t xml:space="preserve"> ed., pp. 55-67). </w:t>
      </w:r>
      <w:proofErr w:type="spellStart"/>
      <w:r w:rsidRPr="00FC528E">
        <w:rPr>
          <w:lang w:val="en-US"/>
        </w:rPr>
        <w:t>Philadelphie</w:t>
      </w:r>
      <w:proofErr w:type="spellEnd"/>
      <w:r w:rsidRPr="00FC528E">
        <w:rPr>
          <w:lang w:val="en-US"/>
        </w:rPr>
        <w:t>: Lippincott Williams &amp; Wilkins.</w:t>
      </w:r>
    </w:p>
    <w:p w:rsidR="00F76137" w:rsidRPr="00FC528E" w:rsidRDefault="00F76137" w:rsidP="002E361D">
      <w:pPr>
        <w:spacing w:line="276" w:lineRule="auto"/>
        <w:jc w:val="both"/>
      </w:pPr>
    </w:p>
    <w:p w:rsidR="00F76137" w:rsidRPr="00FC528E" w:rsidRDefault="00F76137" w:rsidP="002E361D">
      <w:pPr>
        <w:spacing w:line="276" w:lineRule="auto"/>
        <w:jc w:val="both"/>
        <w:rPr>
          <w:lang w:val="en-US"/>
        </w:rPr>
      </w:pPr>
      <w:proofErr w:type="spellStart"/>
      <w:r w:rsidRPr="00FC528E">
        <w:rPr>
          <w:lang w:val="en-US"/>
        </w:rPr>
        <w:t>Youngstrom</w:t>
      </w:r>
      <w:proofErr w:type="spellEnd"/>
      <w:r w:rsidRPr="00FC528E">
        <w:rPr>
          <w:lang w:val="en-US"/>
        </w:rPr>
        <w:t xml:space="preserve">, M.J. </w:t>
      </w:r>
      <w:proofErr w:type="gramStart"/>
      <w:r w:rsidRPr="00FC528E">
        <w:rPr>
          <w:lang w:val="en-US"/>
        </w:rPr>
        <w:t>et</w:t>
      </w:r>
      <w:proofErr w:type="gramEnd"/>
      <w:r w:rsidRPr="00FC528E">
        <w:rPr>
          <w:lang w:val="en-US"/>
        </w:rPr>
        <w:t xml:space="preserve"> Brown, C. (2005). </w:t>
      </w:r>
      <w:proofErr w:type="gramStart"/>
      <w:r w:rsidRPr="00FC528E">
        <w:rPr>
          <w:lang w:val="en-US"/>
        </w:rPr>
        <w:t>Categories and principles of interventions.</w:t>
      </w:r>
      <w:proofErr w:type="gramEnd"/>
      <w:r w:rsidRPr="00FC528E">
        <w:rPr>
          <w:lang w:val="en-US"/>
        </w:rPr>
        <w:t xml:space="preserve"> </w:t>
      </w:r>
      <w:proofErr w:type="spellStart"/>
      <w:r w:rsidRPr="00FC528E">
        <w:rPr>
          <w:lang w:val="en-CA"/>
        </w:rPr>
        <w:t>Dans</w:t>
      </w:r>
      <w:proofErr w:type="spellEnd"/>
      <w:r w:rsidRPr="00FC528E">
        <w:rPr>
          <w:lang w:val="en-CA"/>
        </w:rPr>
        <w:t xml:space="preserve"> C.H. Christiansen, </w:t>
      </w:r>
      <w:proofErr w:type="gramStart"/>
      <w:r w:rsidRPr="00FC528E">
        <w:rPr>
          <w:lang w:val="en-CA"/>
        </w:rPr>
        <w:t>C.M..</w:t>
      </w:r>
      <w:proofErr w:type="gramEnd"/>
      <w:r w:rsidRPr="00FC528E">
        <w:rPr>
          <w:lang w:val="en-CA"/>
        </w:rPr>
        <w:t xml:space="preserve"> Baum, </w:t>
      </w:r>
      <w:proofErr w:type="gramStart"/>
      <w:r w:rsidRPr="00FC528E">
        <w:rPr>
          <w:lang w:val="en-CA"/>
        </w:rPr>
        <w:t>et</w:t>
      </w:r>
      <w:proofErr w:type="gramEnd"/>
      <w:r w:rsidRPr="00FC528E">
        <w:rPr>
          <w:lang w:val="en-CA"/>
        </w:rPr>
        <w:t xml:space="preserve"> J. Bass-Haugen (Eds.).  </w:t>
      </w:r>
      <w:r w:rsidRPr="00FC528E">
        <w:rPr>
          <w:i/>
          <w:lang w:val="en-US"/>
        </w:rPr>
        <w:t>Occupational therapy: Performance participation and well-being</w:t>
      </w:r>
      <w:r w:rsidRPr="00FC528E">
        <w:rPr>
          <w:b/>
          <w:lang w:val="en-US"/>
        </w:rPr>
        <w:t xml:space="preserve"> </w:t>
      </w:r>
      <w:r w:rsidRPr="00FC528E">
        <w:rPr>
          <w:lang w:val="en-US"/>
        </w:rPr>
        <w:t>(3</w:t>
      </w:r>
      <w:r w:rsidRPr="00FC528E">
        <w:rPr>
          <w:vertAlign w:val="superscript"/>
          <w:lang w:val="en-US"/>
        </w:rPr>
        <w:t>e</w:t>
      </w:r>
      <w:r w:rsidRPr="00FC528E">
        <w:rPr>
          <w:lang w:val="en-US"/>
        </w:rPr>
        <w:t xml:space="preserve"> </w:t>
      </w:r>
      <w:proofErr w:type="spellStart"/>
      <w:proofErr w:type="gramStart"/>
      <w:r w:rsidRPr="00FC528E">
        <w:rPr>
          <w:lang w:val="en-US"/>
        </w:rPr>
        <w:t>éd</w:t>
      </w:r>
      <w:proofErr w:type="spellEnd"/>
      <w:r w:rsidRPr="00FC528E">
        <w:rPr>
          <w:lang w:val="en-US"/>
        </w:rPr>
        <w:t>.,</w:t>
      </w:r>
      <w:proofErr w:type="gramEnd"/>
      <w:r w:rsidRPr="00FC528E">
        <w:rPr>
          <w:lang w:val="en-US"/>
        </w:rPr>
        <w:t xml:space="preserve"> pp. 397-413). </w:t>
      </w:r>
      <w:proofErr w:type="spellStart"/>
      <w:smartTag w:uri="urn:schemas-microsoft-com:office:smarttags" w:element="place">
        <w:smartTag w:uri="urn:schemas-microsoft-com:office:smarttags" w:element="City">
          <w:r w:rsidRPr="00FC528E">
            <w:rPr>
              <w:lang w:val="en-US"/>
            </w:rPr>
            <w:t>Thorofare</w:t>
          </w:r>
        </w:smartTag>
        <w:proofErr w:type="spellEnd"/>
        <w:r w:rsidRPr="00FC528E">
          <w:rPr>
            <w:lang w:val="en-US"/>
          </w:rPr>
          <w:t xml:space="preserve">, </w:t>
        </w:r>
        <w:smartTag w:uri="urn:schemas-microsoft-com:office:smarttags" w:element="State">
          <w:r w:rsidRPr="00FC528E">
            <w:rPr>
              <w:lang w:val="en-US"/>
            </w:rPr>
            <w:t>NJ</w:t>
          </w:r>
        </w:smartTag>
      </w:smartTag>
      <w:r w:rsidRPr="00FC528E">
        <w:rPr>
          <w:lang w:val="en-US"/>
        </w:rPr>
        <w:t>: Slack.</w:t>
      </w:r>
    </w:p>
    <w:p w:rsidR="00F76137" w:rsidRPr="00FC528E" w:rsidRDefault="00F76137" w:rsidP="007B7FFA">
      <w:pPr>
        <w:jc w:val="both"/>
      </w:pPr>
    </w:p>
    <w:p w:rsidR="00687CC1" w:rsidRPr="00FC528E" w:rsidRDefault="00687CC1" w:rsidP="007B7FFA">
      <w:pPr>
        <w:jc w:val="both"/>
        <w:rPr>
          <w:lang w:val="en-US"/>
        </w:rPr>
      </w:pPr>
    </w:p>
    <w:p w:rsidR="006A5841" w:rsidRPr="00FC528E" w:rsidRDefault="006A5841" w:rsidP="007B7FFA">
      <w:pPr>
        <w:jc w:val="both"/>
      </w:pPr>
    </w:p>
    <w:sectPr w:rsidR="006A5841" w:rsidRPr="00FC528E" w:rsidSect="00734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3A" w:rsidRDefault="004D053A">
      <w:r>
        <w:separator/>
      </w:r>
    </w:p>
  </w:endnote>
  <w:endnote w:type="continuationSeparator" w:id="0">
    <w:p w:rsidR="004D053A" w:rsidRDefault="004D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32" w:rsidRDefault="0023693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32" w:rsidRDefault="0023693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32" w:rsidRDefault="002369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3A" w:rsidRDefault="004D053A">
      <w:r>
        <w:separator/>
      </w:r>
    </w:p>
  </w:footnote>
  <w:footnote w:type="continuationSeparator" w:id="0">
    <w:p w:rsidR="004D053A" w:rsidRDefault="004D0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32" w:rsidRDefault="0023693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32" w:rsidRDefault="0023693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32" w:rsidRDefault="0023693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A76"/>
    <w:multiLevelType w:val="hybridMultilevel"/>
    <w:tmpl w:val="9E328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5588D"/>
    <w:multiLevelType w:val="hybridMultilevel"/>
    <w:tmpl w:val="874E2378"/>
    <w:lvl w:ilvl="0" w:tplc="0C0C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0594"/>
    <w:rsid w:val="00071489"/>
    <w:rsid w:val="000F3F28"/>
    <w:rsid w:val="00101D8D"/>
    <w:rsid w:val="00236932"/>
    <w:rsid w:val="002E29C9"/>
    <w:rsid w:val="002E361D"/>
    <w:rsid w:val="00345C03"/>
    <w:rsid w:val="00360594"/>
    <w:rsid w:val="00385706"/>
    <w:rsid w:val="003A3779"/>
    <w:rsid w:val="003B75B0"/>
    <w:rsid w:val="004664DF"/>
    <w:rsid w:val="004D053A"/>
    <w:rsid w:val="005221DB"/>
    <w:rsid w:val="00540FC9"/>
    <w:rsid w:val="00567EC5"/>
    <w:rsid w:val="00687CC1"/>
    <w:rsid w:val="006A5841"/>
    <w:rsid w:val="00734F70"/>
    <w:rsid w:val="0076511B"/>
    <w:rsid w:val="007B7FFA"/>
    <w:rsid w:val="008236E0"/>
    <w:rsid w:val="008257D3"/>
    <w:rsid w:val="00875197"/>
    <w:rsid w:val="008F6CB0"/>
    <w:rsid w:val="00923AF9"/>
    <w:rsid w:val="009361EC"/>
    <w:rsid w:val="009F6FAC"/>
    <w:rsid w:val="00A17A76"/>
    <w:rsid w:val="00A8780C"/>
    <w:rsid w:val="00AA7966"/>
    <w:rsid w:val="00BE24B1"/>
    <w:rsid w:val="00C008D1"/>
    <w:rsid w:val="00C045E6"/>
    <w:rsid w:val="00C6569A"/>
    <w:rsid w:val="00CC1F93"/>
    <w:rsid w:val="00EF6BC8"/>
    <w:rsid w:val="00F10FD8"/>
    <w:rsid w:val="00F76137"/>
    <w:rsid w:val="00F81CCD"/>
    <w:rsid w:val="00FC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923A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ListParagraph1">
    <w:name w:val="List Paragraph1"/>
    <w:basedOn w:val="Normal"/>
    <w:rsid w:val="00687CC1"/>
    <w:pPr>
      <w:spacing w:after="200" w:line="276" w:lineRule="auto"/>
      <w:ind w:left="720"/>
      <w:contextualSpacing/>
    </w:pPr>
    <w:rPr>
      <w:rFonts w:ascii="Verdana" w:hAnsi="Verdana"/>
      <w:szCs w:val="22"/>
      <w:lang w:eastAsia="en-US"/>
    </w:rPr>
  </w:style>
  <w:style w:type="paragraph" w:styleId="En-tte">
    <w:name w:val="header"/>
    <w:basedOn w:val="Normal"/>
    <w:rsid w:val="007B7FF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B7FFA"/>
    <w:pPr>
      <w:tabs>
        <w:tab w:val="center" w:pos="4320"/>
        <w:tab w:val="right" w:pos="8640"/>
      </w:tabs>
    </w:pPr>
  </w:style>
  <w:style w:type="paragraph" w:styleId="Titre">
    <w:name w:val="Title"/>
    <w:basedOn w:val="Normal"/>
    <w:next w:val="Normal"/>
    <w:link w:val="TitreCar"/>
    <w:qFormat/>
    <w:rsid w:val="002E36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E3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Exclusion social</vt:lpstr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Exclusion social</dc:title>
  <dc:creator>Charles</dc:creator>
  <cp:lastModifiedBy>Charles Asselin</cp:lastModifiedBy>
  <cp:revision>3</cp:revision>
  <cp:lastPrinted>2012-12-16T19:44:00Z</cp:lastPrinted>
  <dcterms:created xsi:type="dcterms:W3CDTF">2012-12-22T22:49:00Z</dcterms:created>
  <dcterms:modified xsi:type="dcterms:W3CDTF">2012-12-22T22:51:00Z</dcterms:modified>
</cp:coreProperties>
</file>