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1B" w:rsidRPr="00A3501B" w:rsidRDefault="00A3501B" w:rsidP="00A350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A3501B">
        <w:rPr>
          <w:rFonts w:ascii="Arial" w:eastAsia="Times New Roman" w:hAnsi="Arial" w:cs="Arial"/>
          <w:color w:val="000000"/>
          <w:sz w:val="32"/>
          <w:szCs w:val="32"/>
        </w:rPr>
        <w:t>Technique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of Bier’s Block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Restrain the animal. (</w:t>
      </w:r>
      <w:hyperlink r:id="rId5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J4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.160.w1)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Clip and disinfect over a convenient prominent superficial limb vein distal to where the tourniquet will be placed. (</w:t>
      </w:r>
      <w:hyperlink r:id="rId6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.12.w12,</w:t>
      </w:r>
      <w:r w:rsidRPr="00A3501B">
        <w:rPr>
          <w:rFonts w:ascii="Arial" w:eastAsia="Times New Roman" w:hAnsi="Arial" w:cs="Arial"/>
          <w:color w:val="000000"/>
          <w:sz w:val="23"/>
        </w:rPr>
        <w:t> </w:t>
      </w:r>
      <w:hyperlink r:id="rId7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J4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.160.w1) 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The lateral digital vein immediately proximal to the fetlock may be used. (</w:t>
      </w:r>
      <w:hyperlink r:id="rId8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J4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.160.w1); the radial vein or median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palmar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digital vein may be used on the forelimb, the lateral branch of the lateral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saphenous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vein, or the lateral plantar vein, or the lateral plantar digital vein may be used on the hind limb. (</w:t>
      </w:r>
      <w:hyperlink r:id="rId9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If an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Esmarch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bandage is to be applied to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exsanguinate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the limb, place a needle (19 </w:t>
      </w:r>
      <w:proofErr w:type="gram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gauge</w:t>
      </w:r>
      <w:proofErr w:type="gram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) or butterfly needle into an appropriate superficial vein before applying the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Esmarch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bandage and tourniquet. (</w:t>
      </w:r>
      <w:hyperlink r:id="rId10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Keep the needle patent</w:t>
      </w:r>
      <w:proofErr w:type="gram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using heparin-saline solution. (</w:t>
      </w:r>
      <w:hyperlink r:id="rId11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Place a rubber tube tourniquet or wide flat rubber band around the limb. (</w:t>
      </w:r>
      <w:hyperlink r:id="rId12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Flat rubber appears to cause less discomfort than rubber tubing and thus the animal is less likely to be restless during the procedure. (</w:t>
      </w:r>
      <w:hyperlink r:id="rId13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The band or tubing may be placed in the proximal metatarsal or proximal metacarpal region or above the hock or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carpus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>. (</w:t>
      </w:r>
      <w:hyperlink r:id="rId14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.12.w12,</w:t>
      </w:r>
      <w:r w:rsidRPr="00A3501B">
        <w:rPr>
          <w:rFonts w:ascii="Arial" w:eastAsia="Times New Roman" w:hAnsi="Arial" w:cs="Arial"/>
          <w:color w:val="000000"/>
          <w:sz w:val="23"/>
        </w:rPr>
        <w:t> </w:t>
      </w:r>
      <w:hyperlink r:id="rId15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J4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.160.w1)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If applying above the hock, place 15cm </w:t>
      </w:r>
      <w:proofErr w:type="gram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( six</w:t>
      </w:r>
      <w:proofErr w:type="gram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inch) rolls of bandage in the medial and lateral depressions anterior to the Achilles tendon before placing the tourniquet, to ensure that all blood vessels are occluded. (</w:t>
      </w:r>
      <w:hyperlink r:id="rId16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.12.w12,</w:t>
      </w:r>
      <w:r w:rsidRPr="00A3501B">
        <w:rPr>
          <w:rFonts w:ascii="Arial" w:eastAsia="Times New Roman" w:hAnsi="Arial" w:cs="Arial"/>
          <w:color w:val="000000"/>
          <w:sz w:val="23"/>
        </w:rPr>
        <w:t> </w:t>
      </w:r>
      <w:hyperlink r:id="rId17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B344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.66.w66)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The tourniquet must be applied tightly. (</w:t>
      </w:r>
      <w:hyperlink r:id="rId18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B344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.66.w66)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Insert a needle (19 gauge (1.1 mm external diameter) 3.6cm long into the vein, directed distally. (</w:t>
      </w:r>
      <w:hyperlink r:id="rId19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Aspirate blood to confirm that the needle is properly positioned within a vein. (</w:t>
      </w:r>
      <w:hyperlink r:id="rId20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Inject an appropriate amount of local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anaesthetic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solution, e.g. 10-20 ml of 2%</w:t>
      </w:r>
      <w:r w:rsidRPr="00A3501B">
        <w:rPr>
          <w:rFonts w:ascii="Arial" w:eastAsia="Times New Roman" w:hAnsi="Arial" w:cs="Arial"/>
          <w:color w:val="000000"/>
          <w:sz w:val="23"/>
        </w:rPr>
        <w:t> 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fldChar w:fldCharType="begin"/>
      </w:r>
      <w:r w:rsidRPr="00A3501B">
        <w:rPr>
          <w:rFonts w:ascii="Arial" w:eastAsia="Times New Roman" w:hAnsi="Arial" w:cs="Arial"/>
          <w:color w:val="000000"/>
          <w:sz w:val="23"/>
          <w:szCs w:val="23"/>
        </w:rPr>
        <w:instrText xml:space="preserve"> HYPERLINK "http://wildpro.twycrosszoo.org/s/00Chem/ChComplex/Lignocaine.htm" </w:instrText>
      </w:r>
      <w:r w:rsidRPr="00A3501B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Pr="00A3501B">
        <w:rPr>
          <w:rFonts w:ascii="Arial" w:eastAsia="Times New Roman" w:hAnsi="Arial" w:cs="Arial"/>
          <w:b/>
          <w:bCs/>
          <w:color w:val="0000FF"/>
          <w:sz w:val="23"/>
          <w:u w:val="single"/>
        </w:rPr>
        <w:t>lidocaine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r w:rsidRPr="00A3501B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A3501B">
        <w:rPr>
          <w:rFonts w:ascii="Arial" w:eastAsia="Times New Roman" w:hAnsi="Arial" w:cs="Arial"/>
          <w:color w:val="000000"/>
          <w:sz w:val="23"/>
          <w:szCs w:val="23"/>
        </w:rPr>
        <w:t>hydrochloride for adult cattle. (</w:t>
      </w:r>
      <w:hyperlink r:id="rId21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J4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.160.w1)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30 ml of 2%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lidocaine</w:t>
      </w:r>
      <w:proofErr w:type="spellEnd"/>
      <w:r w:rsidRPr="00A3501B">
        <w:rPr>
          <w:rFonts w:ascii="Arial" w:eastAsia="Times New Roman" w:hAnsi="Arial" w:cs="Arial"/>
          <w:color w:val="000000"/>
          <w:sz w:val="23"/>
        </w:rPr>
        <w:t> </w:t>
      </w:r>
      <w:r w:rsidRPr="00A3501B">
        <w:rPr>
          <w:rFonts w:ascii="Arial" w:eastAsia="Times New Roman" w:hAnsi="Arial" w:cs="Arial"/>
          <w:b/>
          <w:bCs/>
          <w:color w:val="000000"/>
          <w:sz w:val="23"/>
          <w:szCs w:val="23"/>
        </w:rPr>
        <w:t>without</w:t>
      </w:r>
      <w:r w:rsidRPr="00A3501B">
        <w:rPr>
          <w:rFonts w:ascii="Arial" w:eastAsia="Times New Roman" w:hAnsi="Arial" w:cs="Arial"/>
          <w:color w:val="000000"/>
          <w:sz w:val="23"/>
        </w:rPr>
        <w:t> </w:t>
      </w:r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adrenalin; this may be followed by additional saline to encourage spread of the local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anaesthetic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>. (</w:t>
      </w:r>
      <w:hyperlink r:id="rId22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30 ml of 2%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lidocaine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is recommended, injected rapidly. (</w:t>
      </w:r>
      <w:hyperlink r:id="rId23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B344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.66.w66)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Withdraw the needle and massage the injection site for a few seconds to prevent</w:t>
      </w:r>
      <w:r w:rsidRPr="00A3501B">
        <w:rPr>
          <w:rFonts w:ascii="Arial" w:eastAsia="Times New Roman" w:hAnsi="Arial" w:cs="Arial"/>
          <w:color w:val="000000"/>
          <w:sz w:val="23"/>
        </w:rPr>
        <w:t> 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fldChar w:fldCharType="begin"/>
      </w:r>
      <w:r w:rsidRPr="00A3501B">
        <w:rPr>
          <w:rFonts w:ascii="Arial" w:eastAsia="Times New Roman" w:hAnsi="Arial" w:cs="Arial"/>
          <w:color w:val="000000"/>
          <w:sz w:val="23"/>
          <w:szCs w:val="23"/>
        </w:rPr>
        <w:instrText xml:space="preserve"> HYPERLINK "http://wildpro.twycrosszoo.org/s/00Ref/KeywordsContents/h/Haematoma.htm" </w:instrText>
      </w:r>
      <w:r w:rsidRPr="00A3501B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Pr="00A3501B">
        <w:rPr>
          <w:rFonts w:ascii="Arial" w:eastAsia="Times New Roman" w:hAnsi="Arial" w:cs="Arial"/>
          <w:color w:val="0000FF"/>
          <w:sz w:val="23"/>
          <w:u w:val="single"/>
        </w:rPr>
        <w:t>haematoma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r w:rsidRPr="00A3501B">
        <w:rPr>
          <w:rFonts w:ascii="Arial" w:eastAsia="Times New Roman" w:hAnsi="Arial" w:cs="Arial"/>
          <w:color w:val="000000"/>
          <w:sz w:val="23"/>
        </w:rPr>
        <w:t> </w:t>
      </w:r>
      <w:r w:rsidRPr="00A3501B">
        <w:rPr>
          <w:rFonts w:ascii="Arial" w:eastAsia="Times New Roman" w:hAnsi="Arial" w:cs="Arial"/>
          <w:color w:val="000000"/>
          <w:sz w:val="23"/>
          <w:szCs w:val="23"/>
        </w:rPr>
        <w:t>formation. (</w:t>
      </w:r>
      <w:hyperlink r:id="rId24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J4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.160.w1)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Anaesthesia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should be complete in five minutes and persist for 1-2 hours if the tourniquet is left in place. (</w:t>
      </w:r>
      <w:hyperlink r:id="rId25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J4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.160.w1) 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Analgesia should be in effect after ten minutes. (</w:t>
      </w:r>
      <w:hyperlink r:id="rId26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B344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.66.w66)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Analgesia develops in 15-20 minutes. (</w:t>
      </w:r>
      <w:hyperlink r:id="rId27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Check after ten minutes whether full analgesia has been achieved: it is important to check the state of analgesia in the deep tissues prior to beginning a surgical procedure involving these tissues (e.g. digit amputation). (</w:t>
      </w:r>
      <w:hyperlink r:id="rId28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B344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.66.w66)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It is particularly important to confirm that the caudal aspects of the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interdigital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cleft are insensitive as this is often the last area to become fully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anaesthetised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>. (</w:t>
      </w:r>
      <w:hyperlink r:id="rId29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B344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.66.w66)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Sometimes the skin between the digits is not fully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anaesthetised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; in such cases inject 5 ml of 2% </w:t>
      </w:r>
      <w:proofErr w:type="spell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lidocaine</w:t>
      </w:r>
      <w:proofErr w:type="spell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midline on the dorsal aspect of the fetlock and 5 ml midline on the caudal aspect</w:t>
      </w:r>
      <w:proofErr w:type="gramStart"/>
      <w:r w:rsidRPr="00A3501B">
        <w:rPr>
          <w:rFonts w:ascii="Arial" w:eastAsia="Times New Roman" w:hAnsi="Arial" w:cs="Arial"/>
          <w:color w:val="000000"/>
          <w:sz w:val="23"/>
          <w:szCs w:val="23"/>
        </w:rPr>
        <w:t>  between</w:t>
      </w:r>
      <w:proofErr w:type="gramEnd"/>
      <w:r w:rsidRPr="00A3501B">
        <w:rPr>
          <w:rFonts w:ascii="Arial" w:eastAsia="Times New Roman" w:hAnsi="Arial" w:cs="Arial"/>
          <w:color w:val="000000"/>
          <w:sz w:val="23"/>
          <w:szCs w:val="23"/>
        </w:rPr>
        <w:t xml:space="preserve"> the dew claws. (</w:t>
      </w:r>
      <w:hyperlink r:id="rId30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31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Analgesia</w:t>
        </w:r>
      </w:hyperlink>
      <w:r w:rsidRPr="00A3501B">
        <w:rPr>
          <w:rFonts w:ascii="Arial" w:eastAsia="Times New Roman" w:hAnsi="Arial" w:cs="Arial"/>
          <w:color w:val="000000"/>
          <w:sz w:val="23"/>
        </w:rPr>
        <w:t> </w:t>
      </w:r>
      <w:r w:rsidRPr="00A3501B">
        <w:rPr>
          <w:rFonts w:ascii="Arial" w:eastAsia="Times New Roman" w:hAnsi="Arial" w:cs="Arial"/>
          <w:color w:val="000000"/>
          <w:sz w:val="23"/>
          <w:szCs w:val="23"/>
        </w:rPr>
        <w:t>remains until the tourniquet is removed. (</w:t>
      </w:r>
      <w:hyperlink r:id="rId32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Following surgery (up to 45 minutes) release the tourniquet slowly over about ten seconds. (</w:t>
      </w:r>
      <w:hyperlink r:id="rId33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J4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.160.w1)</w:t>
      </w:r>
    </w:p>
    <w:p w:rsidR="00A3501B" w:rsidRPr="00A3501B" w:rsidRDefault="00A3501B" w:rsidP="00A350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Release should not cause any problems if at least ten minutes have elapsed between injection and release of the tourniquet. (</w:t>
      </w:r>
      <w:hyperlink r:id="rId34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A3501B" w:rsidRPr="00A3501B" w:rsidRDefault="00A3501B" w:rsidP="00A35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3501B">
        <w:rPr>
          <w:rFonts w:ascii="Arial" w:eastAsia="Times New Roman" w:hAnsi="Arial" w:cs="Arial"/>
          <w:color w:val="000000"/>
          <w:sz w:val="23"/>
          <w:szCs w:val="23"/>
        </w:rPr>
        <w:t>The tourniquet may be left in place for up to1.5 hours without ill effect. (</w:t>
      </w:r>
      <w:hyperlink r:id="rId35" w:history="1">
        <w:r w:rsidRPr="00A3501B">
          <w:rPr>
            <w:rFonts w:ascii="Arial" w:eastAsia="Times New Roman" w:hAnsi="Arial" w:cs="Arial"/>
            <w:color w:val="0000FF"/>
            <w:sz w:val="23"/>
            <w:u w:val="single"/>
          </w:rPr>
          <w:t>B205</w:t>
        </w:r>
      </w:hyperlink>
      <w:r w:rsidRPr="00A3501B">
        <w:rPr>
          <w:rFonts w:ascii="Arial" w:eastAsia="Times New Roman" w:hAnsi="Arial" w:cs="Arial"/>
          <w:color w:val="000000"/>
          <w:sz w:val="23"/>
          <w:szCs w:val="23"/>
        </w:rPr>
        <w:t>.12.w12)</w:t>
      </w:r>
    </w:p>
    <w:p w:rsidR="003C5FE0" w:rsidRDefault="003C5FE0"/>
    <w:sectPr w:rsidR="003C5FE0" w:rsidSect="003C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76A"/>
    <w:multiLevelType w:val="multilevel"/>
    <w:tmpl w:val="3722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3501B"/>
    <w:rsid w:val="003C5FE0"/>
    <w:rsid w:val="00A3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01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5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dpro.twycrosszoo.org/s/00Ref/JournalContents/j04.htm" TargetMode="External"/><Relationship Id="rId13" Type="http://schemas.openxmlformats.org/officeDocument/2006/relationships/hyperlink" Target="http://wildpro.twycrosszoo.org/s/00Ref/BooksContents/b205.htm" TargetMode="External"/><Relationship Id="rId18" Type="http://schemas.openxmlformats.org/officeDocument/2006/relationships/hyperlink" Target="http://wildpro.twycrosszoo.org/s/00Ref/BooksContents/b344.htm" TargetMode="External"/><Relationship Id="rId26" Type="http://schemas.openxmlformats.org/officeDocument/2006/relationships/hyperlink" Target="http://wildpro.twycrosszoo.org/s/00Ref/BooksContents/b344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ldpro.twycrosszoo.org/s/00Ref/JournalContents/j04.htm" TargetMode="External"/><Relationship Id="rId34" Type="http://schemas.openxmlformats.org/officeDocument/2006/relationships/hyperlink" Target="http://wildpro.twycrosszoo.org/s/00Ref/BooksContents/b205.htm" TargetMode="External"/><Relationship Id="rId7" Type="http://schemas.openxmlformats.org/officeDocument/2006/relationships/hyperlink" Target="http://wildpro.twycrosszoo.org/s/00Ref/JournalContents/j04.htm" TargetMode="External"/><Relationship Id="rId12" Type="http://schemas.openxmlformats.org/officeDocument/2006/relationships/hyperlink" Target="http://wildpro.twycrosszoo.org/s/00Ref/BooksContents/b205.htm" TargetMode="External"/><Relationship Id="rId17" Type="http://schemas.openxmlformats.org/officeDocument/2006/relationships/hyperlink" Target="http://wildpro.twycrosszoo.org/s/00Ref/BooksContents/b344.htm" TargetMode="External"/><Relationship Id="rId25" Type="http://schemas.openxmlformats.org/officeDocument/2006/relationships/hyperlink" Target="http://wildpro.twycrosszoo.org/s/00Ref/JournalContents/j04.htm" TargetMode="External"/><Relationship Id="rId33" Type="http://schemas.openxmlformats.org/officeDocument/2006/relationships/hyperlink" Target="http://wildpro.twycrosszoo.org/s/00Ref/JournalContents/j0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ildpro.twycrosszoo.org/s/00Ref/BooksContents/b205.htm" TargetMode="External"/><Relationship Id="rId20" Type="http://schemas.openxmlformats.org/officeDocument/2006/relationships/hyperlink" Target="http://wildpro.twycrosszoo.org/s/00Ref/BooksContents/b205.htm" TargetMode="External"/><Relationship Id="rId29" Type="http://schemas.openxmlformats.org/officeDocument/2006/relationships/hyperlink" Target="http://wildpro.twycrosszoo.org/s/00Ref/BooksContents/b34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ldpro.twycrosszoo.org/s/00Ref/BooksContents/b205.htm" TargetMode="External"/><Relationship Id="rId11" Type="http://schemas.openxmlformats.org/officeDocument/2006/relationships/hyperlink" Target="http://wildpro.twycrosszoo.org/s/00Ref/BooksContents/b205.htm" TargetMode="External"/><Relationship Id="rId24" Type="http://schemas.openxmlformats.org/officeDocument/2006/relationships/hyperlink" Target="http://wildpro.twycrosszoo.org/s/00Ref/JournalContents/j04.htm" TargetMode="External"/><Relationship Id="rId32" Type="http://schemas.openxmlformats.org/officeDocument/2006/relationships/hyperlink" Target="http://wildpro.twycrosszoo.org/s/00Ref/BooksContents/b205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ildpro.twycrosszoo.org/s/00Ref/JournalContents/j04.htm" TargetMode="External"/><Relationship Id="rId15" Type="http://schemas.openxmlformats.org/officeDocument/2006/relationships/hyperlink" Target="http://wildpro.twycrosszoo.org/s/00Ref/JournalContents/j04.htm" TargetMode="External"/><Relationship Id="rId23" Type="http://schemas.openxmlformats.org/officeDocument/2006/relationships/hyperlink" Target="http://wildpro.twycrosszoo.org/s/00Ref/BooksContents/b344.htm" TargetMode="External"/><Relationship Id="rId28" Type="http://schemas.openxmlformats.org/officeDocument/2006/relationships/hyperlink" Target="http://wildpro.twycrosszoo.org/s/00Ref/BooksContents/b344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ildpro.twycrosszoo.org/s/00Ref/BooksContents/b205.htm" TargetMode="External"/><Relationship Id="rId19" Type="http://schemas.openxmlformats.org/officeDocument/2006/relationships/hyperlink" Target="http://wildpro.twycrosszoo.org/s/00Ref/BooksContents/b205.htm" TargetMode="External"/><Relationship Id="rId31" Type="http://schemas.openxmlformats.org/officeDocument/2006/relationships/hyperlink" Target="http://wildpro.twycrosszoo.org/s/00Ref/KeywordsContents/a/Analgesi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ldpro.twycrosszoo.org/s/00Ref/BooksContents/b205.htm" TargetMode="External"/><Relationship Id="rId14" Type="http://schemas.openxmlformats.org/officeDocument/2006/relationships/hyperlink" Target="http://wildpro.twycrosszoo.org/s/00Ref/BooksContents/b205.htm" TargetMode="External"/><Relationship Id="rId22" Type="http://schemas.openxmlformats.org/officeDocument/2006/relationships/hyperlink" Target="http://wildpro.twycrosszoo.org/s/00Ref/BooksContents/b205.htm" TargetMode="External"/><Relationship Id="rId27" Type="http://schemas.openxmlformats.org/officeDocument/2006/relationships/hyperlink" Target="http://wildpro.twycrosszoo.org/s/00Ref/BooksContents/b205.htm" TargetMode="External"/><Relationship Id="rId30" Type="http://schemas.openxmlformats.org/officeDocument/2006/relationships/hyperlink" Target="http://wildpro.twycrosszoo.org/s/00Ref/BooksContents/b205.htm" TargetMode="External"/><Relationship Id="rId35" Type="http://schemas.openxmlformats.org/officeDocument/2006/relationships/hyperlink" Target="http://wildpro.twycrosszoo.org/s/00Ref/BooksContents/b20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900</Words>
  <Characters>5132</Characters>
  <Application>Microsoft Office Word</Application>
  <DocSecurity>0</DocSecurity>
  <Lines>42</Lines>
  <Paragraphs>12</Paragraphs>
  <ScaleCrop>false</ScaleCrop>
  <Company>Toshiba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DeDe</cp:lastModifiedBy>
  <cp:revision>1</cp:revision>
  <dcterms:created xsi:type="dcterms:W3CDTF">2014-09-21T14:05:00Z</dcterms:created>
  <dcterms:modified xsi:type="dcterms:W3CDTF">2014-09-21T14:06:00Z</dcterms:modified>
</cp:coreProperties>
</file>