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21" w:rsidRPr="00520B21" w:rsidRDefault="00520B21" w:rsidP="00520B21">
      <w:pPr>
        <w:shd w:val="clear" w:color="auto" w:fill="FFFFFF"/>
        <w:spacing w:after="288" w:line="336" w:lineRule="atLeast"/>
        <w:rPr>
          <w:rFonts w:ascii="Arial" w:eastAsia="Times New Roman" w:hAnsi="Arial" w:cs="Arial"/>
          <w:color w:val="000000"/>
          <w:sz w:val="25"/>
          <w:szCs w:val="25"/>
        </w:rPr>
      </w:pPr>
      <w:r w:rsidRPr="00520B21">
        <w:rPr>
          <w:rFonts w:ascii="Arial" w:eastAsia="Times New Roman" w:hAnsi="Arial" w:cs="Arial"/>
          <w:color w:val="000000"/>
          <w:sz w:val="25"/>
          <w:szCs w:val="25"/>
          <w:highlight w:val="yellow"/>
        </w:rPr>
        <w:t>Vomiting is the reflexive, forceful expulsion of part or all of the contents of the stomach and proximal small intestines through the mouth</w:t>
      </w:r>
      <w:r w:rsidRPr="00520B21">
        <w:rPr>
          <w:rFonts w:ascii="Arial" w:eastAsia="Times New Roman" w:hAnsi="Arial" w:cs="Arial"/>
          <w:color w:val="000000"/>
          <w:sz w:val="25"/>
          <w:szCs w:val="25"/>
        </w:rPr>
        <w:t xml:space="preserve">. It involves a series of involuntary </w:t>
      </w:r>
      <w:proofErr w:type="spellStart"/>
      <w:r w:rsidRPr="00520B21">
        <w:rPr>
          <w:rFonts w:ascii="Arial" w:eastAsia="Times New Roman" w:hAnsi="Arial" w:cs="Arial"/>
          <w:color w:val="000000"/>
          <w:sz w:val="25"/>
          <w:szCs w:val="25"/>
        </w:rPr>
        <w:t>spasmic</w:t>
      </w:r>
      <w:proofErr w:type="spellEnd"/>
      <w:r w:rsidRPr="00520B21">
        <w:rPr>
          <w:rFonts w:ascii="Arial" w:eastAsia="Times New Roman" w:hAnsi="Arial" w:cs="Arial"/>
          <w:color w:val="000000"/>
          <w:sz w:val="25"/>
          <w:szCs w:val="25"/>
        </w:rPr>
        <w:t xml:space="preserve"> movements requiring visceral, diaphragmatic, and abdominal muscular contractions. The act of vomiting is usually preceded by a number of stereotypical </w:t>
      </w:r>
      <w:proofErr w:type="spellStart"/>
      <w:r w:rsidRPr="00520B21">
        <w:rPr>
          <w:rFonts w:ascii="Arial" w:eastAsia="Times New Roman" w:hAnsi="Arial" w:cs="Arial"/>
          <w:color w:val="000000"/>
          <w:sz w:val="25"/>
          <w:szCs w:val="25"/>
        </w:rPr>
        <w:t>prodromal</w:t>
      </w:r>
      <w:proofErr w:type="spellEnd"/>
      <w:r w:rsidRPr="00520B21">
        <w:rPr>
          <w:rFonts w:ascii="Arial" w:eastAsia="Times New Roman" w:hAnsi="Arial" w:cs="Arial"/>
          <w:color w:val="000000"/>
          <w:sz w:val="25"/>
          <w:szCs w:val="25"/>
        </w:rPr>
        <w:t xml:space="preserve"> clinical signs, including </w:t>
      </w:r>
      <w:r w:rsidRPr="00520B21">
        <w:rPr>
          <w:rFonts w:ascii="Arial" w:eastAsia="Times New Roman" w:hAnsi="Arial" w:cs="Arial"/>
          <w:color w:val="000000"/>
          <w:sz w:val="25"/>
          <w:szCs w:val="25"/>
          <w:highlight w:val="yellow"/>
        </w:rPr>
        <w:t xml:space="preserve">excessive salivation, repeated swallowing, retching, and marked contractions of the abdominal musculature. Vomiting must be differentiated from regurgitation, </w:t>
      </w:r>
      <w:proofErr w:type="spellStart"/>
      <w:r w:rsidRPr="00520B21">
        <w:rPr>
          <w:rFonts w:ascii="Arial" w:eastAsia="Times New Roman" w:hAnsi="Arial" w:cs="Arial"/>
          <w:color w:val="000000"/>
          <w:sz w:val="25"/>
          <w:szCs w:val="25"/>
          <w:highlight w:val="yellow"/>
        </w:rPr>
        <w:t>dysphagia</w:t>
      </w:r>
      <w:proofErr w:type="spellEnd"/>
      <w:r w:rsidRPr="00520B21">
        <w:rPr>
          <w:rFonts w:ascii="Arial" w:eastAsia="Times New Roman" w:hAnsi="Arial" w:cs="Arial"/>
          <w:color w:val="000000"/>
          <w:sz w:val="25"/>
          <w:szCs w:val="25"/>
          <w:highlight w:val="yellow"/>
        </w:rPr>
        <w:t xml:space="preserve"> (difficulty swallowing), and various forms of esophageal dysfunction</w:t>
      </w:r>
      <w:r w:rsidRPr="00520B21">
        <w:rPr>
          <w:rFonts w:ascii="Arial" w:eastAsia="Times New Roman" w:hAnsi="Arial" w:cs="Arial"/>
          <w:color w:val="000000"/>
          <w:sz w:val="25"/>
          <w:szCs w:val="25"/>
          <w:highlight w:val="cyan"/>
        </w:rPr>
        <w:t>. Regurgitation is a passive process whereby partially or completely undigested food or liquid is released from the esophagus and/or stomach through the mouth without effort or muscular contractions (</w:t>
      </w:r>
      <w:proofErr w:type="spellStart"/>
      <w:r w:rsidRPr="00520B21">
        <w:rPr>
          <w:rFonts w:ascii="Arial" w:eastAsia="Times New Roman" w:hAnsi="Arial" w:cs="Arial"/>
          <w:color w:val="000000"/>
          <w:sz w:val="25"/>
          <w:szCs w:val="25"/>
          <w:highlight w:val="cyan"/>
        </w:rPr>
        <w:t>ie</w:t>
      </w:r>
      <w:proofErr w:type="spellEnd"/>
      <w:r w:rsidRPr="00520B21">
        <w:rPr>
          <w:rFonts w:ascii="Arial" w:eastAsia="Times New Roman" w:hAnsi="Arial" w:cs="Arial"/>
          <w:color w:val="000000"/>
          <w:sz w:val="25"/>
          <w:szCs w:val="25"/>
          <w:highlight w:val="cyan"/>
        </w:rPr>
        <w:t>, through gravity and body position)</w:t>
      </w:r>
      <w:r w:rsidRPr="00520B21">
        <w:rPr>
          <w:rFonts w:ascii="Arial" w:eastAsia="Times New Roman" w:hAnsi="Arial" w:cs="Arial"/>
          <w:color w:val="000000"/>
          <w:sz w:val="25"/>
          <w:szCs w:val="25"/>
        </w:rPr>
        <w:t xml:space="preserve">. Although </w:t>
      </w:r>
      <w:proofErr w:type="spellStart"/>
      <w:r w:rsidRPr="00520B21">
        <w:rPr>
          <w:rFonts w:ascii="Arial" w:eastAsia="Times New Roman" w:hAnsi="Arial" w:cs="Arial"/>
          <w:color w:val="000000"/>
          <w:sz w:val="25"/>
          <w:szCs w:val="25"/>
        </w:rPr>
        <w:t>dysphagia</w:t>
      </w:r>
      <w:proofErr w:type="spellEnd"/>
      <w:r w:rsidRPr="00520B21">
        <w:rPr>
          <w:rFonts w:ascii="Arial" w:eastAsia="Times New Roman" w:hAnsi="Arial" w:cs="Arial"/>
          <w:color w:val="000000"/>
          <w:sz w:val="25"/>
          <w:szCs w:val="25"/>
        </w:rPr>
        <w:t xml:space="preserve"> involves active but ineffective muscular contractions and may produce movements that closely resemble the retching associated with vomiting, the process represents a dysfunctional movement of liquid and/or food into, not out of, the GI tract.</w:t>
      </w:r>
    </w:p>
    <w:p w:rsidR="00520B21" w:rsidRPr="00520B21" w:rsidRDefault="00520B21" w:rsidP="00520B21">
      <w:pPr>
        <w:shd w:val="clear" w:color="auto" w:fill="FFFFFF"/>
        <w:spacing w:after="58" w:line="240" w:lineRule="auto"/>
        <w:outlineLvl w:val="2"/>
        <w:rPr>
          <w:rFonts w:ascii="Arial" w:eastAsia="Times New Roman" w:hAnsi="Arial" w:cs="Arial"/>
          <w:b/>
          <w:bCs/>
          <w:color w:val="000000"/>
          <w:sz w:val="31"/>
          <w:szCs w:val="31"/>
        </w:rPr>
      </w:pPr>
      <w:bookmarkStart w:id="0" w:name="v3269003"/>
      <w:bookmarkStart w:id="1" w:name="Etiology,_Pathophysiology,_and_Clinical_"/>
      <w:bookmarkEnd w:id="0"/>
      <w:bookmarkEnd w:id="1"/>
      <w:r w:rsidRPr="00520B21">
        <w:rPr>
          <w:rFonts w:ascii="Arial" w:eastAsia="Times New Roman" w:hAnsi="Arial" w:cs="Arial"/>
          <w:b/>
          <w:bCs/>
          <w:color w:val="000000"/>
          <w:sz w:val="31"/>
          <w:szCs w:val="31"/>
        </w:rPr>
        <w:t xml:space="preserve">Etiology, </w:t>
      </w:r>
      <w:proofErr w:type="spellStart"/>
      <w:r w:rsidRPr="00520B21">
        <w:rPr>
          <w:rFonts w:ascii="Arial" w:eastAsia="Times New Roman" w:hAnsi="Arial" w:cs="Arial"/>
          <w:b/>
          <w:bCs/>
          <w:color w:val="000000"/>
          <w:sz w:val="31"/>
          <w:szCs w:val="31"/>
        </w:rPr>
        <w:t>Pathophysiology</w:t>
      </w:r>
      <w:proofErr w:type="spellEnd"/>
      <w:r w:rsidRPr="00520B21">
        <w:rPr>
          <w:rFonts w:ascii="Arial" w:eastAsia="Times New Roman" w:hAnsi="Arial" w:cs="Arial"/>
          <w:b/>
          <w:bCs/>
          <w:color w:val="000000"/>
          <w:sz w:val="31"/>
          <w:szCs w:val="31"/>
        </w:rPr>
        <w:t>, and Clinical Findings</w:t>
      </w:r>
    </w:p>
    <w:p w:rsidR="00520B21" w:rsidRPr="00520B21" w:rsidRDefault="00520B21" w:rsidP="00520B21">
      <w:pPr>
        <w:shd w:val="clear" w:color="auto" w:fill="FFFFFF"/>
        <w:spacing w:after="288" w:line="336" w:lineRule="atLeast"/>
        <w:rPr>
          <w:rFonts w:ascii="Arial" w:eastAsia="Times New Roman" w:hAnsi="Arial" w:cs="Arial"/>
          <w:color w:val="000000"/>
          <w:sz w:val="25"/>
          <w:szCs w:val="25"/>
        </w:rPr>
      </w:pPr>
      <w:bookmarkStart w:id="2" w:name="v3269004"/>
      <w:bookmarkEnd w:id="2"/>
      <w:r w:rsidRPr="00520B21">
        <w:rPr>
          <w:rFonts w:ascii="Arial" w:eastAsia="Times New Roman" w:hAnsi="Arial" w:cs="Arial"/>
          <w:color w:val="000000"/>
          <w:sz w:val="25"/>
          <w:szCs w:val="25"/>
          <w:highlight w:val="yellow"/>
        </w:rPr>
        <w:t xml:space="preserve">The reflex act of vomiting is initiated by the vomiting (or emetic) center, located in the reticular formation of the medulla. The vomiting center is responsive to input from 4 major sources: 1) afferent receptors from a variety of peripheral structures (the GI tract, pancreas, heart, liver, </w:t>
      </w:r>
      <w:proofErr w:type="spellStart"/>
      <w:r w:rsidRPr="00520B21">
        <w:rPr>
          <w:rFonts w:ascii="Arial" w:eastAsia="Times New Roman" w:hAnsi="Arial" w:cs="Arial"/>
          <w:color w:val="000000"/>
          <w:sz w:val="25"/>
          <w:szCs w:val="25"/>
          <w:highlight w:val="yellow"/>
        </w:rPr>
        <w:t>urogenital</w:t>
      </w:r>
      <w:proofErr w:type="spellEnd"/>
      <w:r w:rsidRPr="00520B21">
        <w:rPr>
          <w:rFonts w:ascii="Arial" w:eastAsia="Times New Roman" w:hAnsi="Arial" w:cs="Arial"/>
          <w:color w:val="000000"/>
          <w:sz w:val="25"/>
          <w:szCs w:val="25"/>
          <w:highlight w:val="yellow"/>
        </w:rPr>
        <w:t xml:space="preserve"> tract, and peritoneum) carried by the </w:t>
      </w:r>
      <w:proofErr w:type="spellStart"/>
      <w:r w:rsidRPr="00520B21">
        <w:rPr>
          <w:rFonts w:ascii="Arial" w:eastAsia="Times New Roman" w:hAnsi="Arial" w:cs="Arial"/>
          <w:color w:val="000000"/>
          <w:sz w:val="25"/>
          <w:szCs w:val="25"/>
          <w:highlight w:val="yellow"/>
        </w:rPr>
        <w:t>vagus</w:t>
      </w:r>
      <w:proofErr w:type="spellEnd"/>
      <w:r w:rsidRPr="00520B21">
        <w:rPr>
          <w:rFonts w:ascii="Arial" w:eastAsia="Times New Roman" w:hAnsi="Arial" w:cs="Arial"/>
          <w:color w:val="000000"/>
          <w:sz w:val="25"/>
          <w:szCs w:val="25"/>
          <w:highlight w:val="yellow"/>
        </w:rPr>
        <w:t xml:space="preserve"> and sympathetic nerves; 2) the chemoreceptor trigger zone (CRTZ) of the area </w:t>
      </w:r>
      <w:proofErr w:type="spellStart"/>
      <w:r w:rsidRPr="00520B21">
        <w:rPr>
          <w:rFonts w:ascii="Arial" w:eastAsia="Times New Roman" w:hAnsi="Arial" w:cs="Arial"/>
          <w:color w:val="000000"/>
          <w:sz w:val="25"/>
          <w:szCs w:val="25"/>
          <w:highlight w:val="yellow"/>
        </w:rPr>
        <w:t>postrema</w:t>
      </w:r>
      <w:proofErr w:type="spellEnd"/>
      <w:r w:rsidRPr="00520B21">
        <w:rPr>
          <w:rFonts w:ascii="Arial" w:eastAsia="Times New Roman" w:hAnsi="Arial" w:cs="Arial"/>
          <w:color w:val="000000"/>
          <w:sz w:val="25"/>
          <w:szCs w:val="25"/>
          <w:highlight w:val="yellow"/>
        </w:rPr>
        <w:t xml:space="preserve"> of the medulla; 3) the cerebral cortex and limbic system; and 4) the vestibular apparatus. In this way, the vomiting center is responsive to neural, </w:t>
      </w:r>
      <w:proofErr w:type="spellStart"/>
      <w:r w:rsidRPr="00520B21">
        <w:rPr>
          <w:rFonts w:ascii="Arial" w:eastAsia="Times New Roman" w:hAnsi="Arial" w:cs="Arial"/>
          <w:color w:val="000000"/>
          <w:sz w:val="25"/>
          <w:szCs w:val="25"/>
          <w:highlight w:val="yellow"/>
        </w:rPr>
        <w:t>humoral</w:t>
      </w:r>
      <w:proofErr w:type="spellEnd"/>
      <w:r w:rsidRPr="00520B21">
        <w:rPr>
          <w:rFonts w:ascii="Arial" w:eastAsia="Times New Roman" w:hAnsi="Arial" w:cs="Arial"/>
          <w:color w:val="000000"/>
          <w:sz w:val="25"/>
          <w:szCs w:val="25"/>
          <w:highlight w:val="yellow"/>
        </w:rPr>
        <w:t>, and chemical input. Stimulation of the receptors in the semicircular canals of the vestibular system, increases in intracranial pressure, distention of the duodenum</w:t>
      </w:r>
      <w:r w:rsidRPr="00520B21">
        <w:rPr>
          <w:rFonts w:ascii="Arial" w:eastAsia="Times New Roman" w:hAnsi="Arial" w:cs="Arial"/>
          <w:color w:val="000000"/>
          <w:sz w:val="25"/>
          <w:szCs w:val="25"/>
        </w:rPr>
        <w:t xml:space="preserve"> (</w:t>
      </w:r>
      <w:proofErr w:type="spellStart"/>
      <w:r w:rsidRPr="00520B21">
        <w:rPr>
          <w:rFonts w:ascii="Arial" w:eastAsia="Times New Roman" w:hAnsi="Arial" w:cs="Arial"/>
          <w:color w:val="000000"/>
          <w:sz w:val="25"/>
          <w:szCs w:val="25"/>
        </w:rPr>
        <w:t>eg</w:t>
      </w:r>
      <w:proofErr w:type="spellEnd"/>
      <w:r w:rsidRPr="00520B21">
        <w:rPr>
          <w:rFonts w:ascii="Arial" w:eastAsia="Times New Roman" w:hAnsi="Arial" w:cs="Arial"/>
          <w:color w:val="000000"/>
          <w:sz w:val="25"/>
          <w:szCs w:val="25"/>
        </w:rPr>
        <w:t xml:space="preserve">, foreign body obstruction, gas and </w:t>
      </w:r>
      <w:proofErr w:type="spellStart"/>
      <w:r w:rsidRPr="00520B21">
        <w:rPr>
          <w:rFonts w:ascii="Arial" w:eastAsia="Times New Roman" w:hAnsi="Arial" w:cs="Arial"/>
          <w:color w:val="000000"/>
          <w:sz w:val="25"/>
          <w:szCs w:val="25"/>
        </w:rPr>
        <w:t>ileus</w:t>
      </w:r>
      <w:proofErr w:type="spellEnd"/>
      <w:r w:rsidRPr="00520B21">
        <w:rPr>
          <w:rFonts w:ascii="Arial" w:eastAsia="Times New Roman" w:hAnsi="Arial" w:cs="Arial"/>
          <w:color w:val="000000"/>
          <w:sz w:val="25"/>
          <w:szCs w:val="25"/>
        </w:rPr>
        <w:t xml:space="preserve"> secondary to inflammation) </w:t>
      </w:r>
      <w:r w:rsidRPr="00520B21">
        <w:rPr>
          <w:rFonts w:ascii="Arial" w:eastAsia="Times New Roman" w:hAnsi="Arial" w:cs="Arial"/>
          <w:color w:val="000000"/>
          <w:sz w:val="25"/>
          <w:szCs w:val="25"/>
          <w:highlight w:val="yellow"/>
        </w:rPr>
        <w:t>or colon</w:t>
      </w:r>
      <w:r w:rsidRPr="00520B21">
        <w:rPr>
          <w:rFonts w:ascii="Arial" w:eastAsia="Times New Roman" w:hAnsi="Arial" w:cs="Arial"/>
          <w:color w:val="000000"/>
          <w:sz w:val="25"/>
          <w:szCs w:val="25"/>
        </w:rPr>
        <w:t xml:space="preserve"> (</w:t>
      </w:r>
      <w:proofErr w:type="spellStart"/>
      <w:r w:rsidRPr="00520B21">
        <w:rPr>
          <w:rFonts w:ascii="Arial" w:eastAsia="Times New Roman" w:hAnsi="Arial" w:cs="Arial"/>
          <w:color w:val="000000"/>
          <w:sz w:val="25"/>
          <w:szCs w:val="25"/>
        </w:rPr>
        <w:t>eg</w:t>
      </w:r>
      <w:proofErr w:type="spellEnd"/>
      <w:r w:rsidRPr="00520B21">
        <w:rPr>
          <w:rFonts w:ascii="Arial" w:eastAsia="Times New Roman" w:hAnsi="Arial" w:cs="Arial"/>
          <w:color w:val="000000"/>
          <w:sz w:val="25"/>
          <w:szCs w:val="25"/>
        </w:rPr>
        <w:t xml:space="preserve">, constipation), </w:t>
      </w:r>
      <w:r w:rsidRPr="00520B21">
        <w:rPr>
          <w:rFonts w:ascii="Arial" w:eastAsia="Times New Roman" w:hAnsi="Arial" w:cs="Arial"/>
          <w:color w:val="000000"/>
          <w:sz w:val="25"/>
          <w:szCs w:val="25"/>
          <w:highlight w:val="yellow"/>
        </w:rPr>
        <w:t>organ capsule distention or inflammation</w:t>
      </w:r>
      <w:r w:rsidRPr="00520B21">
        <w:rPr>
          <w:rFonts w:ascii="Arial" w:eastAsia="Times New Roman" w:hAnsi="Arial" w:cs="Arial"/>
          <w:color w:val="000000"/>
          <w:sz w:val="25"/>
          <w:szCs w:val="25"/>
        </w:rPr>
        <w:t xml:space="preserve"> (</w:t>
      </w:r>
      <w:proofErr w:type="spellStart"/>
      <w:r w:rsidRPr="00520B21">
        <w:rPr>
          <w:rFonts w:ascii="Arial" w:eastAsia="Times New Roman" w:hAnsi="Arial" w:cs="Arial"/>
          <w:color w:val="000000"/>
          <w:sz w:val="25"/>
          <w:szCs w:val="25"/>
        </w:rPr>
        <w:t>eg</w:t>
      </w:r>
      <w:proofErr w:type="spellEnd"/>
      <w:r w:rsidRPr="00520B21">
        <w:rPr>
          <w:rFonts w:ascii="Arial" w:eastAsia="Times New Roman" w:hAnsi="Arial" w:cs="Arial"/>
          <w:color w:val="000000"/>
          <w:sz w:val="25"/>
          <w:szCs w:val="25"/>
        </w:rPr>
        <w:t xml:space="preserve">, acute liver failure or </w:t>
      </w:r>
      <w:proofErr w:type="spellStart"/>
      <w:r w:rsidRPr="00520B21">
        <w:rPr>
          <w:rFonts w:ascii="Arial" w:eastAsia="Times New Roman" w:hAnsi="Arial" w:cs="Arial"/>
          <w:color w:val="000000"/>
          <w:sz w:val="25"/>
          <w:szCs w:val="25"/>
        </w:rPr>
        <w:t>pyelonephritis</w:t>
      </w:r>
      <w:proofErr w:type="spellEnd"/>
      <w:r w:rsidRPr="00520B21">
        <w:rPr>
          <w:rFonts w:ascii="Arial" w:eastAsia="Times New Roman" w:hAnsi="Arial" w:cs="Arial"/>
          <w:color w:val="000000"/>
          <w:sz w:val="25"/>
          <w:szCs w:val="25"/>
        </w:rPr>
        <w:t xml:space="preserve">), </w:t>
      </w:r>
      <w:proofErr w:type="spellStart"/>
      <w:r w:rsidRPr="00520B21">
        <w:rPr>
          <w:rFonts w:ascii="Arial" w:eastAsia="Times New Roman" w:hAnsi="Arial" w:cs="Arial"/>
          <w:color w:val="000000"/>
          <w:sz w:val="25"/>
          <w:szCs w:val="25"/>
          <w:highlight w:val="yellow"/>
        </w:rPr>
        <w:t>bloodborne</w:t>
      </w:r>
      <w:proofErr w:type="spellEnd"/>
      <w:r w:rsidRPr="00520B21">
        <w:rPr>
          <w:rFonts w:ascii="Arial" w:eastAsia="Times New Roman" w:hAnsi="Arial" w:cs="Arial"/>
          <w:color w:val="000000"/>
          <w:sz w:val="25"/>
          <w:szCs w:val="25"/>
          <w:highlight w:val="yellow"/>
        </w:rPr>
        <w:t xml:space="preserve"> toxins</w:t>
      </w:r>
      <w:r w:rsidRPr="00520B21">
        <w:rPr>
          <w:rFonts w:ascii="Arial" w:eastAsia="Times New Roman" w:hAnsi="Arial" w:cs="Arial"/>
          <w:color w:val="000000"/>
          <w:sz w:val="25"/>
          <w:szCs w:val="25"/>
        </w:rPr>
        <w:t xml:space="preserve"> (</w:t>
      </w:r>
      <w:proofErr w:type="spellStart"/>
      <w:r w:rsidRPr="00520B21">
        <w:rPr>
          <w:rFonts w:ascii="Arial" w:eastAsia="Times New Roman" w:hAnsi="Arial" w:cs="Arial"/>
          <w:color w:val="000000"/>
          <w:sz w:val="25"/>
          <w:szCs w:val="25"/>
        </w:rPr>
        <w:t>eg</w:t>
      </w:r>
      <w:proofErr w:type="spellEnd"/>
      <w:r w:rsidRPr="00520B21">
        <w:rPr>
          <w:rFonts w:ascii="Arial" w:eastAsia="Times New Roman" w:hAnsi="Arial" w:cs="Arial"/>
          <w:color w:val="000000"/>
          <w:sz w:val="25"/>
          <w:szCs w:val="25"/>
        </w:rPr>
        <w:t xml:space="preserve">, exogenous chemotherapeutics or endogenous uremic toxins) </w:t>
      </w:r>
      <w:r w:rsidRPr="00520B21">
        <w:rPr>
          <w:rFonts w:ascii="Arial" w:eastAsia="Times New Roman" w:hAnsi="Arial" w:cs="Arial"/>
          <w:color w:val="000000"/>
          <w:sz w:val="25"/>
          <w:szCs w:val="25"/>
          <w:highlight w:val="yellow"/>
        </w:rPr>
        <w:t>are examples of the varied inputs that may activate the vomiting reflex and demonstrate why the list of potential causes for a vomiting patient is so extensive.</w:t>
      </w:r>
    </w:p>
    <w:p w:rsidR="00520B21" w:rsidRPr="00520B21" w:rsidRDefault="00520B21" w:rsidP="00520B21">
      <w:pPr>
        <w:shd w:val="clear" w:color="auto" w:fill="FFFFFF"/>
        <w:spacing w:after="288" w:line="336" w:lineRule="atLeast"/>
        <w:rPr>
          <w:rFonts w:ascii="Arial" w:eastAsia="Times New Roman" w:hAnsi="Arial" w:cs="Arial"/>
          <w:color w:val="000000"/>
          <w:sz w:val="25"/>
          <w:szCs w:val="25"/>
        </w:rPr>
      </w:pPr>
      <w:bookmarkStart w:id="3" w:name="v3269005"/>
      <w:bookmarkEnd w:id="3"/>
      <w:r w:rsidRPr="00520B21">
        <w:rPr>
          <w:rFonts w:ascii="Arial" w:eastAsia="Times New Roman" w:hAnsi="Arial" w:cs="Arial"/>
          <w:color w:val="000000"/>
          <w:sz w:val="25"/>
          <w:szCs w:val="25"/>
          <w:highlight w:val="yellow"/>
        </w:rPr>
        <w:t xml:space="preserve">Some additional causes of vomiting include toxins (pesticides, zinc, </w:t>
      </w:r>
      <w:proofErr w:type="spellStart"/>
      <w:r w:rsidRPr="00520B21">
        <w:rPr>
          <w:rFonts w:ascii="Arial" w:eastAsia="Times New Roman" w:hAnsi="Arial" w:cs="Arial"/>
          <w:color w:val="000000"/>
          <w:sz w:val="25"/>
          <w:szCs w:val="25"/>
          <w:highlight w:val="yellow"/>
        </w:rPr>
        <w:t>xylitol</w:t>
      </w:r>
      <w:proofErr w:type="spellEnd"/>
      <w:r w:rsidRPr="00520B21">
        <w:rPr>
          <w:rFonts w:ascii="Arial" w:eastAsia="Times New Roman" w:hAnsi="Arial" w:cs="Arial"/>
          <w:color w:val="000000"/>
          <w:sz w:val="25"/>
          <w:szCs w:val="25"/>
          <w:highlight w:val="yellow"/>
        </w:rPr>
        <w:t xml:space="preserve">, </w:t>
      </w:r>
      <w:proofErr w:type="spellStart"/>
      <w:r w:rsidRPr="00520B21">
        <w:rPr>
          <w:rFonts w:ascii="Arial" w:eastAsia="Times New Roman" w:hAnsi="Arial" w:cs="Arial"/>
          <w:color w:val="000000"/>
          <w:sz w:val="25"/>
          <w:szCs w:val="25"/>
          <w:highlight w:val="yellow"/>
        </w:rPr>
        <w:t>mycotoxins</w:t>
      </w:r>
      <w:proofErr w:type="spellEnd"/>
      <w:r w:rsidRPr="00520B21">
        <w:rPr>
          <w:rFonts w:ascii="Arial" w:eastAsia="Times New Roman" w:hAnsi="Arial" w:cs="Arial"/>
          <w:color w:val="000000"/>
          <w:sz w:val="25"/>
          <w:szCs w:val="25"/>
          <w:highlight w:val="yellow"/>
        </w:rPr>
        <w:t xml:space="preserve">), </w:t>
      </w:r>
      <w:proofErr w:type="spellStart"/>
      <w:r w:rsidRPr="00520B21">
        <w:rPr>
          <w:rFonts w:ascii="Arial" w:eastAsia="Times New Roman" w:hAnsi="Arial" w:cs="Arial"/>
          <w:color w:val="000000"/>
          <w:sz w:val="25"/>
          <w:szCs w:val="25"/>
          <w:highlight w:val="yellow"/>
        </w:rPr>
        <w:t>envenomation</w:t>
      </w:r>
      <w:proofErr w:type="spellEnd"/>
      <w:r w:rsidRPr="00520B21">
        <w:rPr>
          <w:rFonts w:ascii="Arial" w:eastAsia="Times New Roman" w:hAnsi="Arial" w:cs="Arial"/>
          <w:color w:val="000000"/>
          <w:sz w:val="25"/>
          <w:szCs w:val="25"/>
          <w:highlight w:val="yellow"/>
        </w:rPr>
        <w:t>, parasites (heartworm in cats,</w:t>
      </w:r>
      <w:r w:rsidRPr="00520B21">
        <w:rPr>
          <w:rFonts w:ascii="Arial" w:eastAsia="Times New Roman" w:hAnsi="Arial" w:cs="Arial"/>
          <w:color w:val="000000"/>
          <w:sz w:val="25"/>
          <w:highlight w:val="yellow"/>
        </w:rPr>
        <w:t> </w:t>
      </w:r>
      <w:proofErr w:type="spellStart"/>
      <w:r w:rsidRPr="00520B21">
        <w:rPr>
          <w:rFonts w:ascii="Arial" w:eastAsia="Times New Roman" w:hAnsi="Arial" w:cs="Arial"/>
          <w:i/>
          <w:iCs/>
          <w:color w:val="000000"/>
          <w:sz w:val="25"/>
          <w:highlight w:val="yellow"/>
        </w:rPr>
        <w:t>Spirocerca</w:t>
      </w:r>
      <w:proofErr w:type="spellEnd"/>
      <w:r w:rsidRPr="00520B21">
        <w:rPr>
          <w:rFonts w:ascii="Arial" w:eastAsia="Times New Roman" w:hAnsi="Arial" w:cs="Arial"/>
          <w:i/>
          <w:iCs/>
          <w:color w:val="000000"/>
          <w:sz w:val="25"/>
          <w:highlight w:val="yellow"/>
        </w:rPr>
        <w:t xml:space="preserve"> </w:t>
      </w:r>
      <w:proofErr w:type="spellStart"/>
      <w:r w:rsidRPr="00520B21">
        <w:rPr>
          <w:rFonts w:ascii="Arial" w:eastAsia="Times New Roman" w:hAnsi="Arial" w:cs="Arial"/>
          <w:i/>
          <w:iCs/>
          <w:color w:val="000000"/>
          <w:sz w:val="25"/>
          <w:highlight w:val="yellow"/>
        </w:rPr>
        <w:t>lupi</w:t>
      </w:r>
      <w:proofErr w:type="spellEnd"/>
      <w:r w:rsidRPr="00520B21">
        <w:rPr>
          <w:rFonts w:ascii="Arial" w:eastAsia="Times New Roman" w:hAnsi="Arial" w:cs="Arial"/>
          <w:color w:val="000000"/>
          <w:sz w:val="25"/>
          <w:szCs w:val="25"/>
          <w:highlight w:val="yellow"/>
        </w:rPr>
        <w:t>,</w:t>
      </w:r>
      <w:r w:rsidRPr="00520B21">
        <w:rPr>
          <w:rFonts w:ascii="Arial" w:eastAsia="Times New Roman" w:hAnsi="Arial" w:cs="Arial"/>
          <w:color w:val="000000"/>
          <w:sz w:val="25"/>
          <w:highlight w:val="yellow"/>
        </w:rPr>
        <w:t> </w:t>
      </w:r>
      <w:proofErr w:type="spellStart"/>
      <w:r w:rsidRPr="00520B21">
        <w:rPr>
          <w:rFonts w:ascii="Arial" w:eastAsia="Times New Roman" w:hAnsi="Arial" w:cs="Arial"/>
          <w:i/>
          <w:iCs/>
          <w:color w:val="000000"/>
          <w:sz w:val="25"/>
          <w:highlight w:val="yellow"/>
        </w:rPr>
        <w:t>Physaloptera</w:t>
      </w:r>
      <w:proofErr w:type="spellEnd"/>
      <w:r w:rsidRPr="00520B21">
        <w:rPr>
          <w:rFonts w:ascii="Arial" w:eastAsia="Times New Roman" w:hAnsi="Arial" w:cs="Arial"/>
          <w:color w:val="000000"/>
          <w:sz w:val="25"/>
          <w:szCs w:val="25"/>
          <w:highlight w:val="yellow"/>
        </w:rPr>
        <w:t>,</w:t>
      </w:r>
      <w:r w:rsidRPr="00520B21">
        <w:rPr>
          <w:rFonts w:ascii="Arial" w:eastAsia="Times New Roman" w:hAnsi="Arial" w:cs="Arial"/>
          <w:color w:val="000000"/>
          <w:sz w:val="25"/>
          <w:highlight w:val="yellow"/>
        </w:rPr>
        <w:t> </w:t>
      </w:r>
      <w:proofErr w:type="spellStart"/>
      <w:r w:rsidRPr="00520B21">
        <w:rPr>
          <w:rFonts w:ascii="Arial" w:eastAsia="Times New Roman" w:hAnsi="Arial" w:cs="Arial"/>
          <w:i/>
          <w:iCs/>
          <w:color w:val="000000"/>
          <w:sz w:val="25"/>
          <w:highlight w:val="yellow"/>
        </w:rPr>
        <w:t>Ollulanus</w:t>
      </w:r>
      <w:proofErr w:type="spellEnd"/>
      <w:r w:rsidRPr="00520B21">
        <w:rPr>
          <w:rFonts w:ascii="Arial" w:eastAsia="Times New Roman" w:hAnsi="Arial" w:cs="Arial"/>
          <w:i/>
          <w:iCs/>
          <w:color w:val="000000"/>
          <w:sz w:val="25"/>
          <w:highlight w:val="yellow"/>
        </w:rPr>
        <w:t xml:space="preserve"> </w:t>
      </w:r>
      <w:proofErr w:type="spellStart"/>
      <w:r w:rsidRPr="00520B21">
        <w:rPr>
          <w:rFonts w:ascii="Arial" w:eastAsia="Times New Roman" w:hAnsi="Arial" w:cs="Arial"/>
          <w:i/>
          <w:iCs/>
          <w:color w:val="000000"/>
          <w:sz w:val="25"/>
          <w:highlight w:val="yellow"/>
        </w:rPr>
        <w:t>tricuspis</w:t>
      </w:r>
      <w:proofErr w:type="spellEnd"/>
      <w:r w:rsidRPr="00520B21">
        <w:rPr>
          <w:rFonts w:ascii="Arial" w:eastAsia="Times New Roman" w:hAnsi="Arial" w:cs="Arial"/>
          <w:color w:val="000000"/>
          <w:sz w:val="25"/>
          <w:szCs w:val="25"/>
          <w:highlight w:val="yellow"/>
        </w:rPr>
        <w:t>), infection (</w:t>
      </w:r>
      <w:r w:rsidRPr="00520B21">
        <w:rPr>
          <w:rFonts w:ascii="Arial" w:eastAsia="Times New Roman" w:hAnsi="Arial" w:cs="Arial"/>
          <w:i/>
          <w:iCs/>
          <w:color w:val="000000"/>
          <w:sz w:val="25"/>
          <w:highlight w:val="yellow"/>
        </w:rPr>
        <w:t>Helicobacter</w:t>
      </w:r>
      <w:r w:rsidRPr="00520B21">
        <w:rPr>
          <w:rFonts w:ascii="Arial" w:eastAsia="Times New Roman" w:hAnsi="Arial" w:cs="Arial"/>
          <w:color w:val="000000"/>
          <w:sz w:val="25"/>
          <w:szCs w:val="25"/>
          <w:highlight w:val="yellow"/>
        </w:rPr>
        <w:t xml:space="preserve">) and inflammation (pancreatitis), drugs (acyclovir, </w:t>
      </w:r>
      <w:proofErr w:type="spellStart"/>
      <w:r w:rsidRPr="00520B21">
        <w:rPr>
          <w:rFonts w:ascii="Arial" w:eastAsia="Times New Roman" w:hAnsi="Arial" w:cs="Arial"/>
          <w:color w:val="000000"/>
          <w:sz w:val="25"/>
          <w:szCs w:val="25"/>
          <w:highlight w:val="yellow"/>
        </w:rPr>
        <w:t>cisplatin</w:t>
      </w:r>
      <w:proofErr w:type="spellEnd"/>
      <w:r w:rsidRPr="00520B21">
        <w:rPr>
          <w:rFonts w:ascii="Arial" w:eastAsia="Times New Roman" w:hAnsi="Arial" w:cs="Arial"/>
          <w:color w:val="000000"/>
          <w:sz w:val="25"/>
          <w:szCs w:val="25"/>
          <w:highlight w:val="yellow"/>
        </w:rPr>
        <w:t xml:space="preserve">, </w:t>
      </w:r>
      <w:proofErr w:type="spellStart"/>
      <w:r w:rsidRPr="00520B21">
        <w:rPr>
          <w:rFonts w:ascii="Arial" w:eastAsia="Times New Roman" w:hAnsi="Arial" w:cs="Arial"/>
          <w:color w:val="000000"/>
          <w:sz w:val="25"/>
          <w:szCs w:val="25"/>
          <w:highlight w:val="yellow"/>
        </w:rPr>
        <w:t>piperazine</w:t>
      </w:r>
      <w:proofErr w:type="spellEnd"/>
      <w:r w:rsidRPr="00520B21">
        <w:rPr>
          <w:rFonts w:ascii="Arial" w:eastAsia="Times New Roman" w:hAnsi="Arial" w:cs="Arial"/>
          <w:color w:val="000000"/>
          <w:sz w:val="25"/>
          <w:szCs w:val="25"/>
          <w:highlight w:val="yellow"/>
        </w:rPr>
        <w:t xml:space="preserve">, </w:t>
      </w:r>
      <w:proofErr w:type="spellStart"/>
      <w:r w:rsidRPr="00520B21">
        <w:rPr>
          <w:rFonts w:ascii="Arial" w:eastAsia="Times New Roman" w:hAnsi="Arial" w:cs="Arial"/>
          <w:color w:val="000000"/>
          <w:sz w:val="25"/>
          <w:szCs w:val="25"/>
          <w:highlight w:val="yellow"/>
        </w:rPr>
        <w:t>zolpidem</w:t>
      </w:r>
      <w:proofErr w:type="spellEnd"/>
      <w:r w:rsidRPr="00520B21">
        <w:rPr>
          <w:rFonts w:ascii="Arial" w:eastAsia="Times New Roman" w:hAnsi="Arial" w:cs="Arial"/>
          <w:color w:val="000000"/>
          <w:sz w:val="25"/>
          <w:szCs w:val="25"/>
          <w:highlight w:val="yellow"/>
        </w:rPr>
        <w:t>, antibiotics), obstruction (</w:t>
      </w:r>
      <w:proofErr w:type="spellStart"/>
      <w:r w:rsidRPr="00520B21">
        <w:rPr>
          <w:rFonts w:ascii="Arial" w:eastAsia="Times New Roman" w:hAnsi="Arial" w:cs="Arial"/>
          <w:color w:val="000000"/>
          <w:sz w:val="25"/>
          <w:szCs w:val="25"/>
          <w:highlight w:val="yellow"/>
        </w:rPr>
        <w:t>intussusception</w:t>
      </w:r>
      <w:proofErr w:type="spellEnd"/>
      <w:r w:rsidRPr="00520B21">
        <w:rPr>
          <w:rFonts w:ascii="Arial" w:eastAsia="Times New Roman" w:hAnsi="Arial" w:cs="Arial"/>
          <w:color w:val="000000"/>
          <w:sz w:val="25"/>
          <w:szCs w:val="25"/>
          <w:highlight w:val="yellow"/>
        </w:rPr>
        <w:t xml:space="preserve">, foreign body, </w:t>
      </w:r>
      <w:proofErr w:type="spellStart"/>
      <w:r w:rsidRPr="00520B21">
        <w:rPr>
          <w:rFonts w:ascii="Arial" w:eastAsia="Times New Roman" w:hAnsi="Arial" w:cs="Arial"/>
          <w:color w:val="000000"/>
          <w:sz w:val="25"/>
          <w:szCs w:val="25"/>
          <w:highlight w:val="yellow"/>
        </w:rPr>
        <w:t>obstipation</w:t>
      </w:r>
      <w:proofErr w:type="spellEnd"/>
      <w:r w:rsidRPr="00520B21">
        <w:rPr>
          <w:rFonts w:ascii="Arial" w:eastAsia="Times New Roman" w:hAnsi="Arial" w:cs="Arial"/>
          <w:color w:val="000000"/>
          <w:sz w:val="25"/>
          <w:szCs w:val="25"/>
          <w:highlight w:val="yellow"/>
        </w:rPr>
        <w:t xml:space="preserve">), food allergy, motility disorders (bilious vomiting syndrome, </w:t>
      </w:r>
      <w:proofErr w:type="spellStart"/>
      <w:r w:rsidRPr="00520B21">
        <w:rPr>
          <w:rFonts w:ascii="Arial" w:eastAsia="Times New Roman" w:hAnsi="Arial" w:cs="Arial"/>
          <w:color w:val="000000"/>
          <w:sz w:val="25"/>
          <w:szCs w:val="25"/>
          <w:highlight w:val="yellow"/>
        </w:rPr>
        <w:t>hiatal</w:t>
      </w:r>
      <w:proofErr w:type="spellEnd"/>
      <w:r w:rsidRPr="00520B21">
        <w:rPr>
          <w:rFonts w:ascii="Arial" w:eastAsia="Times New Roman" w:hAnsi="Arial" w:cs="Arial"/>
          <w:color w:val="000000"/>
          <w:sz w:val="25"/>
          <w:szCs w:val="25"/>
          <w:highlight w:val="yellow"/>
        </w:rPr>
        <w:t xml:space="preserve"> hernia), metabolic and electrolyte</w:t>
      </w:r>
      <w:r w:rsidRPr="00520B21">
        <w:rPr>
          <w:rFonts w:ascii="Arial" w:eastAsia="Times New Roman" w:hAnsi="Arial" w:cs="Arial"/>
          <w:color w:val="000000"/>
          <w:sz w:val="25"/>
          <w:szCs w:val="25"/>
        </w:rPr>
        <w:t xml:space="preserve"> </w:t>
      </w:r>
      <w:r w:rsidRPr="00520B21">
        <w:rPr>
          <w:rFonts w:ascii="Arial" w:eastAsia="Times New Roman" w:hAnsi="Arial" w:cs="Arial"/>
          <w:color w:val="000000"/>
          <w:sz w:val="25"/>
          <w:szCs w:val="25"/>
          <w:highlight w:val="yellow"/>
        </w:rPr>
        <w:lastRenderedPageBreak/>
        <w:t>derangements, neurologic disease (</w:t>
      </w:r>
      <w:proofErr w:type="spellStart"/>
      <w:r w:rsidRPr="00520B21">
        <w:rPr>
          <w:rFonts w:ascii="Arial" w:eastAsia="Times New Roman" w:hAnsi="Arial" w:cs="Arial"/>
          <w:color w:val="000000"/>
          <w:sz w:val="25"/>
          <w:szCs w:val="25"/>
          <w:highlight w:val="yellow"/>
        </w:rPr>
        <w:t>dysautonomia</w:t>
      </w:r>
      <w:proofErr w:type="spellEnd"/>
      <w:r w:rsidRPr="00520B21">
        <w:rPr>
          <w:rFonts w:ascii="Arial" w:eastAsia="Times New Roman" w:hAnsi="Arial" w:cs="Arial"/>
          <w:color w:val="000000"/>
          <w:sz w:val="25"/>
          <w:szCs w:val="25"/>
          <w:highlight w:val="yellow"/>
        </w:rPr>
        <w:t xml:space="preserve">, limbic epilepsy), </w:t>
      </w:r>
      <w:proofErr w:type="spellStart"/>
      <w:r w:rsidRPr="00520B21">
        <w:rPr>
          <w:rFonts w:ascii="Arial" w:eastAsia="Times New Roman" w:hAnsi="Arial" w:cs="Arial"/>
          <w:color w:val="000000"/>
          <w:sz w:val="25"/>
          <w:szCs w:val="25"/>
          <w:highlight w:val="yellow"/>
        </w:rPr>
        <w:t>neoplasia</w:t>
      </w:r>
      <w:proofErr w:type="spellEnd"/>
      <w:r w:rsidRPr="00520B21">
        <w:rPr>
          <w:rFonts w:ascii="Arial" w:eastAsia="Times New Roman" w:hAnsi="Arial" w:cs="Arial"/>
          <w:color w:val="000000"/>
          <w:sz w:val="25"/>
          <w:szCs w:val="25"/>
          <w:highlight w:val="yellow"/>
        </w:rPr>
        <w:t xml:space="preserve">, </w:t>
      </w:r>
      <w:proofErr w:type="spellStart"/>
      <w:r w:rsidRPr="00520B21">
        <w:rPr>
          <w:rFonts w:ascii="Arial" w:eastAsia="Times New Roman" w:hAnsi="Arial" w:cs="Arial"/>
          <w:color w:val="000000"/>
          <w:sz w:val="25"/>
          <w:szCs w:val="25"/>
          <w:highlight w:val="yellow"/>
        </w:rPr>
        <w:t>enterotoxemia</w:t>
      </w:r>
      <w:proofErr w:type="spellEnd"/>
      <w:r w:rsidRPr="00520B21">
        <w:rPr>
          <w:rFonts w:ascii="Arial" w:eastAsia="Times New Roman" w:hAnsi="Arial" w:cs="Arial"/>
          <w:color w:val="000000"/>
          <w:sz w:val="25"/>
          <w:szCs w:val="25"/>
          <w:highlight w:val="yellow"/>
        </w:rPr>
        <w:t>, and septicemia.</w:t>
      </w:r>
    </w:p>
    <w:p w:rsidR="00520B21" w:rsidRPr="00520B21" w:rsidRDefault="00520B21" w:rsidP="00520B21">
      <w:pPr>
        <w:shd w:val="clear" w:color="auto" w:fill="FFFFFF"/>
        <w:spacing w:after="288" w:line="336" w:lineRule="atLeast"/>
        <w:rPr>
          <w:rFonts w:ascii="Arial" w:eastAsia="Times New Roman" w:hAnsi="Arial" w:cs="Arial"/>
          <w:color w:val="000000"/>
          <w:sz w:val="25"/>
          <w:szCs w:val="25"/>
        </w:rPr>
      </w:pPr>
      <w:bookmarkStart w:id="4" w:name="v3269010"/>
      <w:bookmarkEnd w:id="4"/>
      <w:r w:rsidRPr="00520B21">
        <w:rPr>
          <w:rFonts w:ascii="Arial" w:eastAsia="Times New Roman" w:hAnsi="Arial" w:cs="Arial"/>
          <w:color w:val="000000"/>
          <w:sz w:val="25"/>
          <w:szCs w:val="25"/>
        </w:rPr>
        <w:t xml:space="preserve">Anxiety, depression, </w:t>
      </w:r>
      <w:proofErr w:type="spellStart"/>
      <w:r w:rsidRPr="00520B21">
        <w:rPr>
          <w:rFonts w:ascii="Arial" w:eastAsia="Times New Roman" w:hAnsi="Arial" w:cs="Arial"/>
          <w:color w:val="000000"/>
          <w:sz w:val="25"/>
          <w:szCs w:val="25"/>
        </w:rPr>
        <w:t>hypersalivation</w:t>
      </w:r>
      <w:proofErr w:type="spellEnd"/>
      <w:r w:rsidRPr="00520B21">
        <w:rPr>
          <w:rFonts w:ascii="Arial" w:eastAsia="Times New Roman" w:hAnsi="Arial" w:cs="Arial"/>
          <w:color w:val="000000"/>
          <w:sz w:val="25"/>
          <w:szCs w:val="25"/>
        </w:rPr>
        <w:t xml:space="preserve">, and repeated swallowing accompanied by relaxation of the </w:t>
      </w:r>
      <w:proofErr w:type="spellStart"/>
      <w:r w:rsidRPr="00520B21">
        <w:rPr>
          <w:rFonts w:ascii="Arial" w:eastAsia="Times New Roman" w:hAnsi="Arial" w:cs="Arial"/>
          <w:color w:val="000000"/>
          <w:sz w:val="25"/>
          <w:szCs w:val="25"/>
        </w:rPr>
        <w:t>gastroesophageal</w:t>
      </w:r>
      <w:proofErr w:type="spellEnd"/>
      <w:r w:rsidRPr="00520B21">
        <w:rPr>
          <w:rFonts w:ascii="Arial" w:eastAsia="Times New Roman" w:hAnsi="Arial" w:cs="Arial"/>
          <w:color w:val="000000"/>
          <w:sz w:val="25"/>
          <w:szCs w:val="25"/>
        </w:rPr>
        <w:t xml:space="preserve"> sphincter are followed by retching. </w:t>
      </w:r>
      <w:proofErr w:type="gramStart"/>
      <w:r w:rsidRPr="00520B21">
        <w:rPr>
          <w:rFonts w:ascii="Arial" w:eastAsia="Times New Roman" w:hAnsi="Arial" w:cs="Arial"/>
          <w:color w:val="000000"/>
          <w:sz w:val="25"/>
          <w:szCs w:val="25"/>
        </w:rPr>
        <w:t xml:space="preserve">The proximal small intestine and gastric </w:t>
      </w:r>
      <w:proofErr w:type="spellStart"/>
      <w:r w:rsidRPr="00520B21">
        <w:rPr>
          <w:rFonts w:ascii="Arial" w:eastAsia="Times New Roman" w:hAnsi="Arial" w:cs="Arial"/>
          <w:color w:val="000000"/>
          <w:sz w:val="25"/>
          <w:szCs w:val="25"/>
        </w:rPr>
        <w:t>antrum</w:t>
      </w:r>
      <w:proofErr w:type="spellEnd"/>
      <w:r w:rsidRPr="00520B21">
        <w:rPr>
          <w:rFonts w:ascii="Arial" w:eastAsia="Times New Roman" w:hAnsi="Arial" w:cs="Arial"/>
          <w:color w:val="000000"/>
          <w:sz w:val="25"/>
          <w:szCs w:val="25"/>
        </w:rPr>
        <w:t xml:space="preserve"> contract, propelling their contents into the body of the stomach where movement is inhibited.</w:t>
      </w:r>
      <w:proofErr w:type="gramEnd"/>
      <w:r w:rsidRPr="00520B21">
        <w:rPr>
          <w:rFonts w:ascii="Arial" w:eastAsia="Times New Roman" w:hAnsi="Arial" w:cs="Arial"/>
          <w:color w:val="000000"/>
          <w:sz w:val="25"/>
          <w:szCs w:val="25"/>
        </w:rPr>
        <w:t xml:space="preserve"> The </w:t>
      </w:r>
      <w:proofErr w:type="spellStart"/>
      <w:r w:rsidRPr="00520B21">
        <w:rPr>
          <w:rFonts w:ascii="Arial" w:eastAsia="Times New Roman" w:hAnsi="Arial" w:cs="Arial"/>
          <w:color w:val="000000"/>
          <w:sz w:val="25"/>
          <w:szCs w:val="25"/>
        </w:rPr>
        <w:t>gastroesophageal</w:t>
      </w:r>
      <w:proofErr w:type="spellEnd"/>
      <w:r w:rsidRPr="00520B21">
        <w:rPr>
          <w:rFonts w:ascii="Arial" w:eastAsia="Times New Roman" w:hAnsi="Arial" w:cs="Arial"/>
          <w:color w:val="000000"/>
          <w:sz w:val="25"/>
          <w:szCs w:val="25"/>
        </w:rPr>
        <w:t xml:space="preserve"> sphincter moves into the thoracic cavity, rendering it incompetent and facilitating </w:t>
      </w:r>
      <w:proofErr w:type="spellStart"/>
      <w:r w:rsidRPr="00520B21">
        <w:rPr>
          <w:rFonts w:ascii="Arial" w:eastAsia="Times New Roman" w:hAnsi="Arial" w:cs="Arial"/>
          <w:color w:val="000000"/>
          <w:sz w:val="25"/>
          <w:szCs w:val="25"/>
        </w:rPr>
        <w:t>gastroesophageal</w:t>
      </w:r>
      <w:proofErr w:type="spellEnd"/>
      <w:r w:rsidRPr="00520B21">
        <w:rPr>
          <w:rFonts w:ascii="Arial" w:eastAsia="Times New Roman" w:hAnsi="Arial" w:cs="Arial"/>
          <w:color w:val="000000"/>
          <w:sz w:val="25"/>
          <w:szCs w:val="25"/>
        </w:rPr>
        <w:t xml:space="preserve"> reflux. Esophageal and </w:t>
      </w:r>
      <w:proofErr w:type="spellStart"/>
      <w:r w:rsidRPr="00520B21">
        <w:rPr>
          <w:rFonts w:ascii="Arial" w:eastAsia="Times New Roman" w:hAnsi="Arial" w:cs="Arial"/>
          <w:color w:val="000000"/>
          <w:sz w:val="25"/>
          <w:szCs w:val="25"/>
        </w:rPr>
        <w:t>pharyngoesophageal</w:t>
      </w:r>
      <w:proofErr w:type="spellEnd"/>
      <w:r w:rsidRPr="00520B21">
        <w:rPr>
          <w:rFonts w:ascii="Arial" w:eastAsia="Times New Roman" w:hAnsi="Arial" w:cs="Arial"/>
          <w:color w:val="000000"/>
          <w:sz w:val="25"/>
          <w:szCs w:val="25"/>
        </w:rPr>
        <w:t xml:space="preserve"> sphincter motility is repressed, and the </w:t>
      </w:r>
      <w:proofErr w:type="spellStart"/>
      <w:r w:rsidRPr="00520B21">
        <w:rPr>
          <w:rFonts w:ascii="Arial" w:eastAsia="Times New Roman" w:hAnsi="Arial" w:cs="Arial"/>
          <w:color w:val="000000"/>
          <w:sz w:val="25"/>
          <w:szCs w:val="25"/>
        </w:rPr>
        <w:t>nasopharynx</w:t>
      </w:r>
      <w:proofErr w:type="spellEnd"/>
      <w:r w:rsidRPr="00520B21">
        <w:rPr>
          <w:rFonts w:ascii="Arial" w:eastAsia="Times New Roman" w:hAnsi="Arial" w:cs="Arial"/>
          <w:color w:val="000000"/>
          <w:sz w:val="25"/>
          <w:szCs w:val="25"/>
        </w:rPr>
        <w:t xml:space="preserve"> closes to prevent nasal regurgitation. Forceful contractions of the abdominal muscles and diaphragm against a closed glottis combined with increases in intra-abdominal pressure force expulsion of food, fluid, or debris.</w:t>
      </w:r>
    </w:p>
    <w:p w:rsidR="00520B21" w:rsidRPr="00520B21" w:rsidRDefault="00520B21" w:rsidP="00520B21">
      <w:pPr>
        <w:shd w:val="clear" w:color="auto" w:fill="FFFFFF"/>
        <w:spacing w:after="58" w:line="240" w:lineRule="auto"/>
        <w:outlineLvl w:val="2"/>
        <w:rPr>
          <w:rFonts w:ascii="Arial" w:eastAsia="Times New Roman" w:hAnsi="Arial" w:cs="Arial"/>
          <w:b/>
          <w:bCs/>
          <w:color w:val="000000"/>
          <w:sz w:val="31"/>
          <w:szCs w:val="31"/>
        </w:rPr>
      </w:pPr>
      <w:bookmarkStart w:id="5" w:name="v3269012"/>
      <w:bookmarkStart w:id="6" w:name="Diagnosis"/>
      <w:bookmarkEnd w:id="5"/>
      <w:bookmarkEnd w:id="6"/>
      <w:r w:rsidRPr="00520B21">
        <w:rPr>
          <w:rFonts w:ascii="Arial" w:eastAsia="Times New Roman" w:hAnsi="Arial" w:cs="Arial"/>
          <w:b/>
          <w:bCs/>
          <w:color w:val="000000"/>
          <w:sz w:val="31"/>
          <w:szCs w:val="31"/>
        </w:rPr>
        <w:t>Diagnosis</w:t>
      </w:r>
    </w:p>
    <w:p w:rsidR="00520B21" w:rsidRPr="00520B21" w:rsidRDefault="00520B21" w:rsidP="00520B21">
      <w:pPr>
        <w:shd w:val="clear" w:color="auto" w:fill="FFFFFF"/>
        <w:spacing w:after="288" w:line="336" w:lineRule="atLeast"/>
        <w:rPr>
          <w:rFonts w:ascii="Arial" w:eastAsia="Times New Roman" w:hAnsi="Arial" w:cs="Arial"/>
          <w:color w:val="000000"/>
          <w:sz w:val="25"/>
          <w:szCs w:val="25"/>
        </w:rPr>
      </w:pPr>
      <w:bookmarkStart w:id="7" w:name="v3269013"/>
      <w:bookmarkEnd w:id="7"/>
      <w:r w:rsidRPr="00520B21">
        <w:rPr>
          <w:rFonts w:ascii="Arial" w:eastAsia="Times New Roman" w:hAnsi="Arial" w:cs="Arial"/>
          <w:color w:val="000000"/>
          <w:sz w:val="25"/>
          <w:szCs w:val="25"/>
        </w:rPr>
        <w:t xml:space="preserve">Diagnosis begins with accurate and complete identification of the problem. This includes differentiating vomiting from regurgitation or </w:t>
      </w:r>
      <w:proofErr w:type="spellStart"/>
      <w:r w:rsidRPr="00520B21">
        <w:rPr>
          <w:rFonts w:ascii="Arial" w:eastAsia="Times New Roman" w:hAnsi="Arial" w:cs="Arial"/>
          <w:color w:val="000000"/>
          <w:sz w:val="25"/>
          <w:szCs w:val="25"/>
        </w:rPr>
        <w:t>dysphagia</w:t>
      </w:r>
      <w:proofErr w:type="spellEnd"/>
      <w:r w:rsidRPr="00520B21">
        <w:rPr>
          <w:rFonts w:ascii="Arial" w:eastAsia="Times New Roman" w:hAnsi="Arial" w:cs="Arial"/>
          <w:color w:val="000000"/>
          <w:sz w:val="25"/>
          <w:szCs w:val="25"/>
        </w:rPr>
        <w:t xml:space="preserve">, and then characterizing the duration and character of the vomiting. Although the complete list of potential causes for vomiting is extensive and potentially relevant for any vomiting patient, the rank-order of that differential list is significantly affected by a variety of historical factors. The problem should be defined as acute or chronic, persistent or intermittent, static, progressive, or recurrent. The problem of vomiting can be further defined in terms of the frequency and time of day it occurs, character of the </w:t>
      </w:r>
      <w:proofErr w:type="spellStart"/>
      <w:r w:rsidRPr="00520B21">
        <w:rPr>
          <w:rFonts w:ascii="Arial" w:eastAsia="Times New Roman" w:hAnsi="Arial" w:cs="Arial"/>
          <w:color w:val="000000"/>
          <w:sz w:val="25"/>
          <w:szCs w:val="25"/>
        </w:rPr>
        <w:t>vomitus</w:t>
      </w:r>
      <w:proofErr w:type="spellEnd"/>
      <w:r w:rsidRPr="00520B21">
        <w:rPr>
          <w:rFonts w:ascii="Arial" w:eastAsia="Times New Roman" w:hAnsi="Arial" w:cs="Arial"/>
          <w:color w:val="000000"/>
          <w:sz w:val="25"/>
          <w:szCs w:val="25"/>
        </w:rPr>
        <w:t>, changes in dietary or environmental circumstances that preceded the problem, and general condition of the patient (</w:t>
      </w:r>
      <w:proofErr w:type="spellStart"/>
      <w:r w:rsidRPr="00520B21">
        <w:rPr>
          <w:rFonts w:ascii="Arial" w:eastAsia="Times New Roman" w:hAnsi="Arial" w:cs="Arial"/>
          <w:color w:val="000000"/>
          <w:sz w:val="25"/>
          <w:szCs w:val="25"/>
        </w:rPr>
        <w:t>eg</w:t>
      </w:r>
      <w:proofErr w:type="spellEnd"/>
      <w:r w:rsidRPr="00520B21">
        <w:rPr>
          <w:rFonts w:ascii="Arial" w:eastAsia="Times New Roman" w:hAnsi="Arial" w:cs="Arial"/>
          <w:color w:val="000000"/>
          <w:sz w:val="25"/>
          <w:szCs w:val="25"/>
        </w:rPr>
        <w:t xml:space="preserve">, attitude, activity, appetite, appearance) between bouts. Both history and physical examination should reveal potential systemic causes or consequences of the problem, such as depression, dehydration, fever, halitosis, weight loss, </w:t>
      </w:r>
      <w:proofErr w:type="spellStart"/>
      <w:r w:rsidRPr="00520B21">
        <w:rPr>
          <w:rFonts w:ascii="Arial" w:eastAsia="Times New Roman" w:hAnsi="Arial" w:cs="Arial"/>
          <w:color w:val="000000"/>
          <w:sz w:val="25"/>
          <w:szCs w:val="25"/>
        </w:rPr>
        <w:t>dyspnea</w:t>
      </w:r>
      <w:proofErr w:type="spellEnd"/>
      <w:r w:rsidRPr="00520B21">
        <w:rPr>
          <w:rFonts w:ascii="Arial" w:eastAsia="Times New Roman" w:hAnsi="Arial" w:cs="Arial"/>
          <w:color w:val="000000"/>
          <w:sz w:val="25"/>
          <w:szCs w:val="25"/>
        </w:rPr>
        <w:t xml:space="preserve"> (aspiration), abdominal pain, masses, thickened or distended loops of bowel, excessive or absent </w:t>
      </w:r>
      <w:proofErr w:type="spellStart"/>
      <w:r w:rsidRPr="00520B21">
        <w:rPr>
          <w:rFonts w:ascii="Arial" w:eastAsia="Times New Roman" w:hAnsi="Arial" w:cs="Arial"/>
          <w:color w:val="000000"/>
          <w:sz w:val="25"/>
          <w:szCs w:val="25"/>
        </w:rPr>
        <w:t>borborygmus</w:t>
      </w:r>
      <w:proofErr w:type="spellEnd"/>
      <w:r w:rsidRPr="00520B21">
        <w:rPr>
          <w:rFonts w:ascii="Arial" w:eastAsia="Times New Roman" w:hAnsi="Arial" w:cs="Arial"/>
          <w:color w:val="000000"/>
          <w:sz w:val="25"/>
          <w:szCs w:val="25"/>
        </w:rPr>
        <w:t xml:space="preserve">, or </w:t>
      </w:r>
      <w:proofErr w:type="spellStart"/>
      <w:r w:rsidRPr="00520B21">
        <w:rPr>
          <w:rFonts w:ascii="Arial" w:eastAsia="Times New Roman" w:hAnsi="Arial" w:cs="Arial"/>
          <w:color w:val="000000"/>
          <w:sz w:val="25"/>
          <w:szCs w:val="25"/>
        </w:rPr>
        <w:t>melena</w:t>
      </w:r>
      <w:proofErr w:type="spellEnd"/>
      <w:r w:rsidRPr="00520B21">
        <w:rPr>
          <w:rFonts w:ascii="Arial" w:eastAsia="Times New Roman" w:hAnsi="Arial" w:cs="Arial"/>
          <w:color w:val="000000"/>
          <w:sz w:val="25"/>
          <w:szCs w:val="25"/>
        </w:rPr>
        <w:t>.</w:t>
      </w:r>
    </w:p>
    <w:p w:rsidR="00520B21" w:rsidRPr="00520B21" w:rsidRDefault="00520B21" w:rsidP="00520B21">
      <w:pPr>
        <w:shd w:val="clear" w:color="auto" w:fill="FFFFFF"/>
        <w:spacing w:after="288" w:line="336" w:lineRule="atLeast"/>
        <w:rPr>
          <w:rFonts w:ascii="Arial" w:eastAsia="Times New Roman" w:hAnsi="Arial" w:cs="Arial"/>
          <w:color w:val="000000"/>
          <w:sz w:val="25"/>
          <w:szCs w:val="25"/>
        </w:rPr>
      </w:pPr>
      <w:bookmarkStart w:id="8" w:name="v3269014"/>
      <w:bookmarkEnd w:id="8"/>
      <w:r w:rsidRPr="00520B21">
        <w:rPr>
          <w:rFonts w:ascii="Arial" w:eastAsia="Times New Roman" w:hAnsi="Arial" w:cs="Arial"/>
          <w:color w:val="000000"/>
          <w:sz w:val="25"/>
          <w:szCs w:val="25"/>
        </w:rPr>
        <w:t xml:space="preserve">Following a complete history and physical examination, primary and secondary GI differential diagnoses should be considered. Plain film abdominal radiographs should be part of the initial diagnostic work-up of any vomiting patient; an undiagnosed GI foreign body in an acutely vomiting patient or an undiagnosed </w:t>
      </w:r>
      <w:proofErr w:type="spellStart"/>
      <w:r w:rsidRPr="00520B21">
        <w:rPr>
          <w:rFonts w:ascii="Arial" w:eastAsia="Times New Roman" w:hAnsi="Arial" w:cs="Arial"/>
          <w:color w:val="000000"/>
          <w:sz w:val="25"/>
          <w:szCs w:val="25"/>
        </w:rPr>
        <w:t>splenic</w:t>
      </w:r>
      <w:proofErr w:type="spellEnd"/>
      <w:r w:rsidRPr="00520B21">
        <w:rPr>
          <w:rFonts w:ascii="Arial" w:eastAsia="Times New Roman" w:hAnsi="Arial" w:cs="Arial"/>
          <w:color w:val="000000"/>
          <w:sz w:val="25"/>
          <w:szCs w:val="25"/>
        </w:rPr>
        <w:t xml:space="preserve"> mass in a chronically vomiting patient are both potentially fatal causes of vomiting whose identification would be delayed by symptomatic treatment in the absence of appropriate diagnostic tests, to the detriment of the patient. A minimum data base, including a CBC, biochemical profile, urinalysis, and fecal examination, </w:t>
      </w:r>
      <w:r w:rsidRPr="00520B21">
        <w:rPr>
          <w:rFonts w:ascii="Arial" w:eastAsia="Times New Roman" w:hAnsi="Arial" w:cs="Arial"/>
          <w:color w:val="000000"/>
          <w:sz w:val="25"/>
          <w:szCs w:val="25"/>
        </w:rPr>
        <w:lastRenderedPageBreak/>
        <w:t>are also appropriate initial diagnostics, although they are less likely to identify underlying causes that would require immediate intervention.</w:t>
      </w:r>
    </w:p>
    <w:p w:rsidR="00520B21" w:rsidRPr="00520B21" w:rsidRDefault="00520B21" w:rsidP="00520B21">
      <w:pPr>
        <w:shd w:val="clear" w:color="auto" w:fill="FFFFFF"/>
        <w:spacing w:after="288" w:line="336" w:lineRule="atLeast"/>
        <w:rPr>
          <w:rFonts w:ascii="Arial" w:eastAsia="Times New Roman" w:hAnsi="Arial" w:cs="Arial"/>
          <w:color w:val="000000"/>
          <w:sz w:val="25"/>
          <w:szCs w:val="25"/>
        </w:rPr>
      </w:pPr>
      <w:bookmarkStart w:id="9" w:name="v3269015"/>
      <w:bookmarkEnd w:id="9"/>
      <w:r w:rsidRPr="00520B21">
        <w:rPr>
          <w:rFonts w:ascii="Arial" w:eastAsia="Times New Roman" w:hAnsi="Arial" w:cs="Arial"/>
          <w:color w:val="000000"/>
          <w:sz w:val="25"/>
          <w:szCs w:val="25"/>
        </w:rPr>
        <w:t xml:space="preserve">Chronic vomiting and vomiting that has systemic manifestations such as </w:t>
      </w:r>
      <w:proofErr w:type="spellStart"/>
      <w:r w:rsidRPr="00520B21">
        <w:rPr>
          <w:rFonts w:ascii="Arial" w:eastAsia="Times New Roman" w:hAnsi="Arial" w:cs="Arial"/>
          <w:color w:val="000000"/>
          <w:sz w:val="25"/>
          <w:szCs w:val="25"/>
        </w:rPr>
        <w:t>hematemesis</w:t>
      </w:r>
      <w:proofErr w:type="spellEnd"/>
      <w:r w:rsidRPr="00520B21">
        <w:rPr>
          <w:rFonts w:ascii="Arial" w:eastAsia="Times New Roman" w:hAnsi="Arial" w:cs="Arial"/>
          <w:color w:val="000000"/>
          <w:sz w:val="25"/>
          <w:szCs w:val="25"/>
        </w:rPr>
        <w:t xml:space="preserve">, abdominal pain, </w:t>
      </w:r>
      <w:proofErr w:type="gramStart"/>
      <w:r w:rsidRPr="00520B21">
        <w:rPr>
          <w:rFonts w:ascii="Arial" w:eastAsia="Times New Roman" w:hAnsi="Arial" w:cs="Arial"/>
          <w:color w:val="000000"/>
          <w:sz w:val="25"/>
          <w:szCs w:val="25"/>
        </w:rPr>
        <w:t>dehydration</w:t>
      </w:r>
      <w:proofErr w:type="gramEnd"/>
      <w:r w:rsidRPr="00520B21">
        <w:rPr>
          <w:rFonts w:ascii="Arial" w:eastAsia="Times New Roman" w:hAnsi="Arial" w:cs="Arial"/>
          <w:color w:val="000000"/>
          <w:sz w:val="25"/>
          <w:szCs w:val="25"/>
        </w:rPr>
        <w:t xml:space="preserve">, fever, or weight loss should be approached aggressively. An expanding array of diagnostic tests is available to diagnose both primary and secondary causes of vomiting. Noninvasive imaging modalities in addition to plain abdominal films include contrast studies, abdominal </w:t>
      </w:r>
      <w:proofErr w:type="spellStart"/>
      <w:r w:rsidRPr="00520B21">
        <w:rPr>
          <w:rFonts w:ascii="Arial" w:eastAsia="Times New Roman" w:hAnsi="Arial" w:cs="Arial"/>
          <w:color w:val="000000"/>
          <w:sz w:val="25"/>
          <w:szCs w:val="25"/>
        </w:rPr>
        <w:t>ultrasonography</w:t>
      </w:r>
      <w:proofErr w:type="spellEnd"/>
      <w:r w:rsidRPr="00520B21">
        <w:rPr>
          <w:rFonts w:ascii="Arial" w:eastAsia="Times New Roman" w:hAnsi="Arial" w:cs="Arial"/>
          <w:color w:val="000000"/>
          <w:sz w:val="25"/>
          <w:szCs w:val="25"/>
        </w:rPr>
        <w:t xml:space="preserve">, and abdominal CT or MRI. Fecal </w:t>
      </w:r>
      <w:proofErr w:type="gramStart"/>
      <w:r w:rsidRPr="00520B21">
        <w:rPr>
          <w:rFonts w:ascii="Arial" w:eastAsia="Times New Roman" w:hAnsi="Arial" w:cs="Arial"/>
          <w:color w:val="000000"/>
          <w:sz w:val="25"/>
          <w:szCs w:val="25"/>
        </w:rPr>
        <w:t>float, smear, wet mount</w:t>
      </w:r>
      <w:proofErr w:type="gramEnd"/>
      <w:r w:rsidRPr="00520B21">
        <w:rPr>
          <w:rFonts w:ascii="Arial" w:eastAsia="Times New Roman" w:hAnsi="Arial" w:cs="Arial"/>
          <w:color w:val="000000"/>
          <w:sz w:val="25"/>
          <w:szCs w:val="25"/>
        </w:rPr>
        <w:t>,</w:t>
      </w:r>
      <w:r w:rsidRPr="00520B21">
        <w:rPr>
          <w:rFonts w:ascii="Arial" w:eastAsia="Times New Roman" w:hAnsi="Arial" w:cs="Arial"/>
          <w:color w:val="000000"/>
          <w:sz w:val="25"/>
        </w:rPr>
        <w:t> </w:t>
      </w:r>
      <w:proofErr w:type="spellStart"/>
      <w:r w:rsidRPr="00520B21">
        <w:rPr>
          <w:rFonts w:ascii="Arial" w:eastAsia="Times New Roman" w:hAnsi="Arial" w:cs="Arial"/>
          <w:i/>
          <w:iCs/>
          <w:color w:val="000000"/>
          <w:sz w:val="25"/>
        </w:rPr>
        <w:t>Giardia</w:t>
      </w:r>
      <w:proofErr w:type="spellEnd"/>
      <w:r w:rsidRPr="00520B21">
        <w:rPr>
          <w:rFonts w:ascii="Arial" w:eastAsia="Times New Roman" w:hAnsi="Arial" w:cs="Arial"/>
          <w:color w:val="000000"/>
          <w:sz w:val="25"/>
        </w:rPr>
        <w:t> </w:t>
      </w:r>
      <w:r w:rsidRPr="00520B21">
        <w:rPr>
          <w:rFonts w:ascii="Arial" w:eastAsia="Times New Roman" w:hAnsi="Arial" w:cs="Arial"/>
          <w:color w:val="000000"/>
          <w:sz w:val="25"/>
          <w:szCs w:val="25"/>
        </w:rPr>
        <w:t>ELISA, PCR, electron microscopy, and assay of α-</w:t>
      </w:r>
      <w:proofErr w:type="spellStart"/>
      <w:r w:rsidRPr="00520B21">
        <w:rPr>
          <w:rFonts w:ascii="Arial" w:eastAsia="Times New Roman" w:hAnsi="Arial" w:cs="Arial"/>
          <w:color w:val="000000"/>
          <w:sz w:val="25"/>
          <w:szCs w:val="25"/>
        </w:rPr>
        <w:t>antiprotease</w:t>
      </w:r>
      <w:proofErr w:type="spellEnd"/>
      <w:r w:rsidRPr="00520B21">
        <w:rPr>
          <w:rFonts w:ascii="Arial" w:eastAsia="Times New Roman" w:hAnsi="Arial" w:cs="Arial"/>
          <w:color w:val="000000"/>
          <w:sz w:val="25"/>
          <w:szCs w:val="25"/>
        </w:rPr>
        <w:t xml:space="preserve"> levels (for protein-losing </w:t>
      </w:r>
      <w:proofErr w:type="spellStart"/>
      <w:r w:rsidRPr="00520B21">
        <w:rPr>
          <w:rFonts w:ascii="Arial" w:eastAsia="Times New Roman" w:hAnsi="Arial" w:cs="Arial"/>
          <w:color w:val="000000"/>
          <w:sz w:val="25"/>
          <w:szCs w:val="25"/>
        </w:rPr>
        <w:t>enteropathies</w:t>
      </w:r>
      <w:proofErr w:type="spellEnd"/>
      <w:r w:rsidRPr="00520B21">
        <w:rPr>
          <w:rFonts w:ascii="Arial" w:eastAsia="Times New Roman" w:hAnsi="Arial" w:cs="Arial"/>
          <w:color w:val="000000"/>
          <w:sz w:val="25"/>
          <w:szCs w:val="25"/>
        </w:rPr>
        <w:t xml:space="preserve">) are available to help define GI disease. Pancreatic-lipase </w:t>
      </w:r>
      <w:proofErr w:type="spellStart"/>
      <w:r w:rsidRPr="00520B21">
        <w:rPr>
          <w:rFonts w:ascii="Arial" w:eastAsia="Times New Roman" w:hAnsi="Arial" w:cs="Arial"/>
          <w:color w:val="000000"/>
          <w:sz w:val="25"/>
          <w:szCs w:val="25"/>
        </w:rPr>
        <w:t>immunoreactivity</w:t>
      </w:r>
      <w:proofErr w:type="spellEnd"/>
      <w:r w:rsidRPr="00520B21">
        <w:rPr>
          <w:rFonts w:ascii="Arial" w:eastAsia="Times New Roman" w:hAnsi="Arial" w:cs="Arial"/>
          <w:color w:val="000000"/>
          <w:sz w:val="25"/>
          <w:szCs w:val="25"/>
        </w:rPr>
        <w:t xml:space="preserve"> (PLI) has replaced measures of serum amylase and lipase as a much more sensitive test of pancreatic inflammation. Laparoscopy and endoscopy are powerful diagnostic tools for both secondary and primary causes of vomiting, and they entail much less morbidity than exploratory abdominal </w:t>
      </w:r>
      <w:proofErr w:type="spellStart"/>
      <w:r w:rsidRPr="00520B21">
        <w:rPr>
          <w:rFonts w:ascii="Arial" w:eastAsia="Times New Roman" w:hAnsi="Arial" w:cs="Arial"/>
          <w:color w:val="000000"/>
          <w:sz w:val="25"/>
          <w:szCs w:val="25"/>
        </w:rPr>
        <w:t>laparotomy</w:t>
      </w:r>
      <w:proofErr w:type="spellEnd"/>
      <w:r w:rsidRPr="00520B21">
        <w:rPr>
          <w:rFonts w:ascii="Arial" w:eastAsia="Times New Roman" w:hAnsi="Arial" w:cs="Arial"/>
          <w:color w:val="000000"/>
          <w:sz w:val="25"/>
          <w:szCs w:val="25"/>
        </w:rPr>
        <w:t>.</w:t>
      </w:r>
    </w:p>
    <w:p w:rsidR="00520B21" w:rsidRPr="00520B21" w:rsidRDefault="00520B21" w:rsidP="00520B21">
      <w:pPr>
        <w:shd w:val="clear" w:color="auto" w:fill="FFFFFF"/>
        <w:spacing w:after="58" w:line="240" w:lineRule="auto"/>
        <w:outlineLvl w:val="2"/>
        <w:rPr>
          <w:rFonts w:ascii="Arial" w:eastAsia="Times New Roman" w:hAnsi="Arial" w:cs="Arial"/>
          <w:b/>
          <w:bCs/>
          <w:color w:val="000000"/>
          <w:sz w:val="31"/>
          <w:szCs w:val="31"/>
        </w:rPr>
      </w:pPr>
      <w:bookmarkStart w:id="10" w:name="v3269018"/>
      <w:bookmarkStart w:id="11" w:name="Treatment_and_Control"/>
      <w:bookmarkEnd w:id="10"/>
      <w:bookmarkEnd w:id="11"/>
      <w:r w:rsidRPr="00520B21">
        <w:rPr>
          <w:rFonts w:ascii="Arial" w:eastAsia="Times New Roman" w:hAnsi="Arial" w:cs="Arial"/>
          <w:b/>
          <w:bCs/>
          <w:color w:val="000000"/>
          <w:sz w:val="31"/>
          <w:szCs w:val="31"/>
        </w:rPr>
        <w:t>Treatment and Control</w:t>
      </w:r>
    </w:p>
    <w:p w:rsidR="00520B21" w:rsidRPr="00520B21" w:rsidRDefault="00520B21" w:rsidP="00520B21">
      <w:pPr>
        <w:shd w:val="clear" w:color="auto" w:fill="FFFFFF"/>
        <w:spacing w:after="288" w:line="336" w:lineRule="atLeast"/>
        <w:rPr>
          <w:rFonts w:ascii="Arial" w:eastAsia="Times New Roman" w:hAnsi="Arial" w:cs="Arial"/>
          <w:color w:val="000000"/>
          <w:sz w:val="25"/>
          <w:szCs w:val="25"/>
        </w:rPr>
      </w:pPr>
      <w:bookmarkStart w:id="12" w:name="v3269019"/>
      <w:bookmarkEnd w:id="12"/>
      <w:r w:rsidRPr="00520B21">
        <w:rPr>
          <w:rFonts w:ascii="Arial" w:eastAsia="Times New Roman" w:hAnsi="Arial" w:cs="Arial"/>
          <w:color w:val="000000"/>
          <w:sz w:val="25"/>
          <w:szCs w:val="25"/>
          <w:highlight w:val="yellow"/>
        </w:rPr>
        <w:t>The primary goal of treatment in a vomiting patient is to identify and treat the underlying cause of the vomiting. Obtaining a definitive diagnosis prior to instituting symptomatic treatment is almost always a prudent and frequently cost-effective approach in any vomiting patient</w:t>
      </w:r>
      <w:r w:rsidRPr="00520B21">
        <w:rPr>
          <w:rFonts w:ascii="Arial" w:eastAsia="Times New Roman" w:hAnsi="Arial" w:cs="Arial"/>
          <w:color w:val="000000"/>
          <w:sz w:val="25"/>
          <w:szCs w:val="25"/>
        </w:rPr>
        <w:t>. Antiemetic therapy is an essential component of the plan for many vomiting patients, but with administration of an antiemetic, the clinician losses the ability to correlate the cessation of vomiting to any other specific parameter (</w:t>
      </w:r>
      <w:proofErr w:type="spellStart"/>
      <w:r w:rsidRPr="00520B21">
        <w:rPr>
          <w:rFonts w:ascii="Arial" w:eastAsia="Times New Roman" w:hAnsi="Arial" w:cs="Arial"/>
          <w:color w:val="000000"/>
          <w:sz w:val="25"/>
          <w:szCs w:val="25"/>
        </w:rPr>
        <w:t>ie</w:t>
      </w:r>
      <w:proofErr w:type="spellEnd"/>
      <w:r w:rsidRPr="00520B21">
        <w:rPr>
          <w:rFonts w:ascii="Arial" w:eastAsia="Times New Roman" w:hAnsi="Arial" w:cs="Arial"/>
          <w:color w:val="000000"/>
          <w:sz w:val="25"/>
          <w:szCs w:val="25"/>
        </w:rPr>
        <w:t>, rehydration, resolution of a partial obstruction, effective treatment of an underlying disease process, the natural progression of simple gastritis).</w:t>
      </w:r>
    </w:p>
    <w:p w:rsidR="00520B21" w:rsidRPr="00520B21" w:rsidRDefault="00520B21" w:rsidP="00520B21">
      <w:pPr>
        <w:shd w:val="clear" w:color="auto" w:fill="FFFFFF"/>
        <w:spacing w:after="288" w:line="336" w:lineRule="atLeast"/>
        <w:rPr>
          <w:rFonts w:ascii="Arial" w:eastAsia="Times New Roman" w:hAnsi="Arial" w:cs="Arial"/>
          <w:color w:val="000000"/>
          <w:sz w:val="25"/>
          <w:szCs w:val="25"/>
        </w:rPr>
      </w:pPr>
      <w:bookmarkStart w:id="13" w:name="v3269020"/>
      <w:bookmarkEnd w:id="13"/>
      <w:r w:rsidRPr="00520B21">
        <w:rPr>
          <w:rFonts w:ascii="Arial" w:eastAsia="Times New Roman" w:hAnsi="Arial" w:cs="Arial"/>
          <w:color w:val="000000"/>
          <w:sz w:val="25"/>
          <w:szCs w:val="25"/>
        </w:rPr>
        <w:t>Symptomatic therapy for acute vomiting includes withholding food for 24 hr. Water should never be withheld unless the animal is receiving SC or IV fluid support. Predictable consequences of vomiting include dehydration, electrolyte imbalances, and acid-base disturbances; withholding water without appropriately addressing the patient's hydration status will exacerbate and compound these abnormalities. Some animals show a positive response to this 24-hr intervention, and small volumes of oral liquid, and eventually food, can be slowly reintroduced without further vomiting episodes.</w:t>
      </w:r>
    </w:p>
    <w:p w:rsidR="002F36B5" w:rsidRDefault="00520B21">
      <w:r>
        <w:t xml:space="preserve"> </w:t>
      </w:r>
      <w:hyperlink r:id="rId4" w:history="1">
        <w:r w:rsidR="00B6090B" w:rsidRPr="00F07687">
          <w:rPr>
            <w:rStyle w:val="Hyperlink"/>
          </w:rPr>
          <w:t>http://www.merckmanuals.com/vet/digestive_system/vomiting/overview_of_vomiting.html</w:t>
        </w:r>
      </w:hyperlink>
      <w:r w:rsidR="00B6090B">
        <w:t xml:space="preserve"> </w:t>
      </w:r>
    </w:p>
    <w:sectPr w:rsidR="002F36B5" w:rsidSect="002F36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520B21"/>
    <w:rsid w:val="002F36B5"/>
    <w:rsid w:val="00520B21"/>
    <w:rsid w:val="00B60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B5"/>
  </w:style>
  <w:style w:type="paragraph" w:styleId="Heading3">
    <w:name w:val="heading 3"/>
    <w:basedOn w:val="Normal"/>
    <w:link w:val="Heading3Char"/>
    <w:uiPriority w:val="9"/>
    <w:qFormat/>
    <w:rsid w:val="00520B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0B21"/>
    <w:rPr>
      <w:rFonts w:ascii="Times New Roman" w:eastAsia="Times New Roman" w:hAnsi="Times New Roman" w:cs="Times New Roman"/>
      <w:b/>
      <w:bCs/>
      <w:sz w:val="27"/>
      <w:szCs w:val="27"/>
    </w:rPr>
  </w:style>
  <w:style w:type="paragraph" w:customStyle="1" w:styleId="mmpara">
    <w:name w:val="mmpara"/>
    <w:basedOn w:val="Normal"/>
    <w:rsid w:val="00520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0B21"/>
  </w:style>
  <w:style w:type="character" w:customStyle="1" w:styleId="microorganism">
    <w:name w:val="microorganism"/>
    <w:basedOn w:val="DefaultParagraphFont"/>
    <w:rsid w:val="00520B21"/>
  </w:style>
  <w:style w:type="character" w:styleId="Hyperlink">
    <w:name w:val="Hyperlink"/>
    <w:basedOn w:val="DefaultParagraphFont"/>
    <w:uiPriority w:val="99"/>
    <w:unhideWhenUsed/>
    <w:rsid w:val="00B6090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5132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rckmanuals.com/vet/digestive_system/vomiting/overview_of_vomi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1196</Words>
  <Characters>6819</Characters>
  <Application>Microsoft Office Word</Application>
  <DocSecurity>0</DocSecurity>
  <Lines>56</Lines>
  <Paragraphs>15</Paragraphs>
  <ScaleCrop>false</ScaleCrop>
  <Company>Grizli777</Company>
  <LinksUpToDate>false</LinksUpToDate>
  <CharactersWithSpaces>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2014-10-19T17:03:00Z</dcterms:created>
  <dcterms:modified xsi:type="dcterms:W3CDTF">2014-10-19T17:13:00Z</dcterms:modified>
</cp:coreProperties>
</file>