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5E8" w:rsidRDefault="00E425E8" w:rsidP="00E425E8">
      <w:pPr>
        <w:pStyle w:val="NormalWeb"/>
        <w:shd w:val="clear" w:color="auto" w:fill="FFFFFF"/>
        <w:spacing w:before="240" w:beforeAutospacing="0" w:after="240" w:afterAutospacing="0" w:line="355" w:lineRule="atLeast"/>
        <w:rPr>
          <w:rFonts w:ascii="Georgia" w:hAnsi="Georgia"/>
          <w:color w:val="333333"/>
          <w:sz w:val="23"/>
          <w:szCs w:val="23"/>
        </w:rPr>
      </w:pPr>
      <w:r>
        <w:rPr>
          <w:rStyle w:val="Strong"/>
          <w:rFonts w:ascii="Georgia" w:hAnsi="Georgia"/>
          <w:color w:val="333333"/>
          <w:sz w:val="23"/>
          <w:szCs w:val="23"/>
        </w:rPr>
        <w:t>Hernias are Costly</w:t>
      </w:r>
    </w:p>
    <w:p w:rsidR="00E425E8" w:rsidRDefault="00E425E8" w:rsidP="00E425E8">
      <w:pPr>
        <w:pStyle w:val="NormalWeb"/>
        <w:shd w:val="clear" w:color="auto" w:fill="FFFFFF"/>
        <w:spacing w:before="240" w:beforeAutospacing="0" w:after="240" w:afterAutospacing="0" w:line="355" w:lineRule="atLeast"/>
        <w:rPr>
          <w:rFonts w:ascii="Georgia" w:hAnsi="Georgia"/>
          <w:color w:val="333333"/>
          <w:sz w:val="23"/>
          <w:szCs w:val="23"/>
        </w:rPr>
      </w:pPr>
      <w:r>
        <w:rPr>
          <w:rFonts w:ascii="Georgia" w:hAnsi="Georgia"/>
          <w:color w:val="333333"/>
          <w:sz w:val="23"/>
          <w:szCs w:val="23"/>
        </w:rPr>
        <w:t> </w:t>
      </w:r>
    </w:p>
    <w:p w:rsidR="00E425E8" w:rsidRDefault="00E425E8" w:rsidP="00E425E8">
      <w:pPr>
        <w:pStyle w:val="NormalWeb"/>
        <w:shd w:val="clear" w:color="auto" w:fill="FFFFFF"/>
        <w:spacing w:before="240" w:beforeAutospacing="0" w:after="240" w:afterAutospacing="0" w:line="355" w:lineRule="atLeast"/>
        <w:rPr>
          <w:rFonts w:ascii="Georgia" w:hAnsi="Georgia"/>
          <w:color w:val="333333"/>
          <w:sz w:val="23"/>
          <w:szCs w:val="23"/>
        </w:rPr>
      </w:pPr>
      <w:r>
        <w:rPr>
          <w:rFonts w:ascii="Georgia" w:hAnsi="Georgia"/>
          <w:color w:val="333333"/>
          <w:sz w:val="23"/>
          <w:szCs w:val="23"/>
        </w:rPr>
        <w:t xml:space="preserve">Market hogs with umbilical hernias are generally docked to 50% of value. Therefore, if 3% of pigs in a 1,200-head finishing barn are affected, assuming a 4% death loss per turn, 35 pigs would be sold as non-grade </w:t>
      </w:r>
      <w:proofErr w:type="gramStart"/>
      <w:r>
        <w:rPr>
          <w:rFonts w:ascii="Georgia" w:hAnsi="Georgia"/>
          <w:color w:val="333333"/>
          <w:sz w:val="23"/>
          <w:szCs w:val="23"/>
        </w:rPr>
        <w:t>A</w:t>
      </w:r>
      <w:proofErr w:type="gramEnd"/>
      <w:r>
        <w:rPr>
          <w:rFonts w:ascii="Georgia" w:hAnsi="Georgia"/>
          <w:color w:val="333333"/>
          <w:sz w:val="23"/>
          <w:szCs w:val="23"/>
        </w:rPr>
        <w:t xml:space="preserve"> pigs, fetching approximately $90/head vs. $180/head. When averaged across all pigs, the loss is $2.73/pig marketed. A portion of the death loss could be associated with severe umbilical hernias. </w:t>
      </w:r>
    </w:p>
    <w:p w:rsidR="00E425E8" w:rsidRDefault="00E425E8" w:rsidP="00E425E8">
      <w:pPr>
        <w:pStyle w:val="NormalWeb"/>
        <w:shd w:val="clear" w:color="auto" w:fill="FFFFFF"/>
        <w:spacing w:before="240" w:beforeAutospacing="0" w:after="240" w:afterAutospacing="0" w:line="355" w:lineRule="atLeast"/>
        <w:rPr>
          <w:rFonts w:ascii="Georgia" w:hAnsi="Georgia"/>
          <w:color w:val="333333"/>
          <w:sz w:val="23"/>
          <w:szCs w:val="23"/>
        </w:rPr>
      </w:pPr>
      <w:r>
        <w:rPr>
          <w:rFonts w:ascii="Georgia" w:hAnsi="Georgia"/>
          <w:color w:val="333333"/>
          <w:sz w:val="23"/>
          <w:szCs w:val="23"/>
        </w:rPr>
        <w:t> </w:t>
      </w:r>
    </w:p>
    <w:p w:rsidR="0070615F" w:rsidRDefault="0070615F">
      <w:bookmarkStart w:id="0" w:name="_GoBack"/>
      <w:bookmarkEnd w:id="0"/>
    </w:p>
    <w:sectPr w:rsidR="007061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5E8"/>
    <w:rsid w:val="0070615F"/>
    <w:rsid w:val="00E42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42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425E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42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425E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48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2014-10-21T00:52:00Z</dcterms:created>
  <dcterms:modified xsi:type="dcterms:W3CDTF">2014-10-21T00:54:00Z</dcterms:modified>
</cp:coreProperties>
</file>