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454"/>
        <w:gridCol w:w="4537"/>
        <w:gridCol w:w="1555"/>
        <w:gridCol w:w="1302"/>
        <w:gridCol w:w="1554"/>
        <w:gridCol w:w="2753"/>
      </w:tblGrid>
      <w:tr w:rsidR="00410A66" w:rsidTr="00410A66">
        <w:tc>
          <w:tcPr>
            <w:tcW w:w="1235" w:type="dxa"/>
          </w:tcPr>
          <w:p w:rsidR="00410A66" w:rsidRDefault="00410A66">
            <w:r>
              <w:t>Drug</w:t>
            </w:r>
          </w:p>
        </w:tc>
        <w:tc>
          <w:tcPr>
            <w:tcW w:w="1454" w:type="dxa"/>
          </w:tcPr>
          <w:p w:rsidR="00410A66" w:rsidRDefault="00410A66" w:rsidP="004F733E">
            <w:pPr>
              <w:jc w:val="both"/>
            </w:pPr>
            <w:r>
              <w:t>Category</w:t>
            </w:r>
          </w:p>
        </w:tc>
        <w:tc>
          <w:tcPr>
            <w:tcW w:w="4537" w:type="dxa"/>
          </w:tcPr>
          <w:p w:rsidR="00410A66" w:rsidRDefault="00F80673" w:rsidP="004F733E">
            <w:pPr>
              <w:jc w:val="both"/>
            </w:pPr>
            <w:r>
              <w:t>Drug Info and uses</w:t>
            </w:r>
          </w:p>
        </w:tc>
        <w:tc>
          <w:tcPr>
            <w:tcW w:w="1555" w:type="dxa"/>
          </w:tcPr>
          <w:p w:rsidR="00410A66" w:rsidRDefault="00410A66">
            <w:r>
              <w:t>Route of Administration</w:t>
            </w:r>
          </w:p>
        </w:tc>
        <w:tc>
          <w:tcPr>
            <w:tcW w:w="1302" w:type="dxa"/>
          </w:tcPr>
          <w:p w:rsidR="00410A66" w:rsidRDefault="00410A66">
            <w:r>
              <w:t>Withdrawal Time</w:t>
            </w:r>
          </w:p>
        </w:tc>
        <w:tc>
          <w:tcPr>
            <w:tcW w:w="1554" w:type="dxa"/>
          </w:tcPr>
          <w:p w:rsidR="00410A66" w:rsidRDefault="00410A66">
            <w:r>
              <w:t>Time of Administration</w:t>
            </w:r>
          </w:p>
        </w:tc>
        <w:tc>
          <w:tcPr>
            <w:tcW w:w="2753" w:type="dxa"/>
          </w:tcPr>
          <w:p w:rsidR="00410A66" w:rsidRDefault="00410A66" w:rsidP="004F733E">
            <w:pPr>
              <w:jc w:val="both"/>
            </w:pPr>
            <w:r>
              <w:t>Contraindications and Side effects</w:t>
            </w:r>
          </w:p>
        </w:tc>
      </w:tr>
      <w:tr w:rsidR="00410A66" w:rsidTr="00410A66">
        <w:tc>
          <w:tcPr>
            <w:tcW w:w="1235" w:type="dxa"/>
          </w:tcPr>
          <w:p w:rsidR="00410A66" w:rsidRDefault="00410A66">
            <w:proofErr w:type="spellStart"/>
            <w:r>
              <w:t>Xylazine</w:t>
            </w:r>
            <w:proofErr w:type="spellEnd"/>
          </w:p>
        </w:tc>
        <w:tc>
          <w:tcPr>
            <w:tcW w:w="1454" w:type="dxa"/>
          </w:tcPr>
          <w:p w:rsidR="00410A66" w:rsidRDefault="00410A66" w:rsidP="004F733E">
            <w:pPr>
              <w:jc w:val="both"/>
            </w:pPr>
            <w:r>
              <w:t>Sedative</w:t>
            </w:r>
          </w:p>
        </w:tc>
        <w:tc>
          <w:tcPr>
            <w:tcW w:w="4537" w:type="dxa"/>
          </w:tcPr>
          <w:p w:rsidR="00410A66" w:rsidRDefault="00DB4165" w:rsidP="004F733E">
            <w:pPr>
              <w:jc w:val="both"/>
            </w:pPr>
            <w:proofErr w:type="spellStart"/>
            <w:r w:rsidRPr="00DB4165">
              <w:t>Xylazine</w:t>
            </w:r>
            <w:proofErr w:type="spellEnd"/>
            <w:r w:rsidRPr="00DB4165">
              <w:t xml:space="preserve"> </w:t>
            </w:r>
            <w:proofErr w:type="spellStart"/>
            <w:r w:rsidRPr="00DB4165">
              <w:t>HCl</w:t>
            </w:r>
            <w:proofErr w:type="spellEnd"/>
            <w:r w:rsidRPr="00DB4165">
              <w:t xml:space="preserve"> Injection (</w:t>
            </w:r>
            <w:proofErr w:type="spellStart"/>
            <w:r w:rsidRPr="00DB4165">
              <w:t>xylazine</w:t>
            </w:r>
            <w:proofErr w:type="spellEnd"/>
            <w:r w:rsidRPr="00DB4165">
              <w:t xml:space="preserve">), a non-narcotic compound, is a sedative and analgesic as well as muscle relaxant. Its sedative and analgesic activity is related to central nervous system depression. Its muscle relaxant effect is based on inhibition of the </w:t>
            </w:r>
            <w:proofErr w:type="spellStart"/>
            <w:r w:rsidRPr="00DB4165">
              <w:t>intraneural</w:t>
            </w:r>
            <w:proofErr w:type="spellEnd"/>
            <w:r w:rsidRPr="00DB4165">
              <w:t xml:space="preserve"> transmission of impulses in the central nervous system. The principal pharmacological activities develop within 10 to 15 minutes after intramuscular injection</w:t>
            </w:r>
          </w:p>
        </w:tc>
        <w:tc>
          <w:tcPr>
            <w:tcW w:w="1555" w:type="dxa"/>
          </w:tcPr>
          <w:p w:rsidR="00410A66" w:rsidRDefault="00410A66">
            <w:r w:rsidRPr="00A95B4A">
              <w:t>Intramuscular (in trapezius muscle)</w:t>
            </w:r>
          </w:p>
        </w:tc>
        <w:tc>
          <w:tcPr>
            <w:tcW w:w="1302" w:type="dxa"/>
          </w:tcPr>
          <w:p w:rsidR="00410A66" w:rsidRDefault="00410A66">
            <w:r w:rsidRPr="00A95B4A">
              <w:t>IV or IM: 48 hrs milk; 3 days meat</w:t>
            </w:r>
          </w:p>
        </w:tc>
        <w:tc>
          <w:tcPr>
            <w:tcW w:w="1554" w:type="dxa"/>
          </w:tcPr>
          <w:p w:rsidR="00410A66" w:rsidRDefault="00410A66">
            <w:r w:rsidRPr="00A95B4A">
              <w:t>2:23 pm</w:t>
            </w:r>
          </w:p>
        </w:tc>
        <w:tc>
          <w:tcPr>
            <w:tcW w:w="2753" w:type="dxa"/>
          </w:tcPr>
          <w:p w:rsidR="00410A66" w:rsidRDefault="00410A66" w:rsidP="004F733E">
            <w:pPr>
              <w:jc w:val="both"/>
            </w:pPr>
            <w:r w:rsidRPr="00B303F5">
              <w:t xml:space="preserve">Lateral </w:t>
            </w:r>
            <w:proofErr w:type="spellStart"/>
            <w:r w:rsidRPr="00B303F5">
              <w:t>recumbency</w:t>
            </w:r>
            <w:proofErr w:type="spellEnd"/>
            <w:r w:rsidRPr="00B303F5">
              <w:t xml:space="preserve"> is to be avoided during recovery due to increasing the possibilities of bloat, regurgitation and/or aspiration. Sternal </w:t>
            </w:r>
            <w:proofErr w:type="spellStart"/>
            <w:r w:rsidRPr="00B303F5">
              <w:t>recumbency</w:t>
            </w:r>
            <w:proofErr w:type="spellEnd"/>
            <w:r w:rsidRPr="00B303F5">
              <w:t xml:space="preserve"> is the appropriate recovery position. A 24-hour fast prior to injection will also reduce the incidence of bloat.</w:t>
            </w:r>
            <w:r>
              <w:t xml:space="preserve"> M</w:t>
            </w:r>
            <w:r w:rsidRPr="004F733E">
              <w:t xml:space="preserve">ay occasionally cause slight muscle tremors, bradycardia and a reduced respiratory rate. Temporary salivation, diuresis and ruminal stasis may be observed during the period of sedation. A transient, self-limiting </w:t>
            </w:r>
            <w:proofErr w:type="spellStart"/>
            <w:r w:rsidRPr="004F733E">
              <w:t>diarrhea</w:t>
            </w:r>
            <w:proofErr w:type="spellEnd"/>
            <w:r w:rsidRPr="004F733E">
              <w:t xml:space="preserve"> may occur 24 to 48 hours following administration.</w:t>
            </w:r>
          </w:p>
        </w:tc>
      </w:tr>
      <w:tr w:rsidR="00410A66" w:rsidTr="00410A66">
        <w:tc>
          <w:tcPr>
            <w:tcW w:w="1235" w:type="dxa"/>
          </w:tcPr>
          <w:p w:rsidR="00410A66" w:rsidRDefault="00410A66"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</w:p>
        </w:tc>
        <w:tc>
          <w:tcPr>
            <w:tcW w:w="1454" w:type="dxa"/>
          </w:tcPr>
          <w:p w:rsidR="00410A66" w:rsidRDefault="00410A66" w:rsidP="004F733E">
            <w:pPr>
              <w:jc w:val="both"/>
            </w:pPr>
            <w:r>
              <w:t>NSAID (pain relief)</w:t>
            </w:r>
            <w:r w:rsidR="0045181B">
              <w:t>-Pain Prophylaxis</w:t>
            </w:r>
          </w:p>
        </w:tc>
        <w:tc>
          <w:tcPr>
            <w:tcW w:w="4537" w:type="dxa"/>
          </w:tcPr>
          <w:p w:rsidR="00410A66" w:rsidRDefault="00410A66" w:rsidP="004F733E">
            <w:pPr>
              <w:jc w:val="both"/>
            </w:pPr>
            <w:r>
              <w:t>A</w:t>
            </w:r>
            <w:r w:rsidRPr="004F0383">
              <w:t xml:space="preserve"> potent, non-narcotic, non-steroidal, analgesic drug with anti-inflammatory and anti-pyretic activity (NSAID). In cattle, </w:t>
            </w:r>
            <w:proofErr w:type="spellStart"/>
            <w:r w:rsidRPr="004F0383">
              <w:t>Flunixin</w:t>
            </w:r>
            <w:proofErr w:type="spellEnd"/>
            <w:r w:rsidRPr="004F0383">
              <w:t xml:space="preserve"> Injection is indicated for the control of pyrexia associated with bovine respiratory disease and </w:t>
            </w:r>
            <w:proofErr w:type="spellStart"/>
            <w:r w:rsidRPr="004F0383">
              <w:t>endotoxemia</w:t>
            </w:r>
            <w:proofErr w:type="spellEnd"/>
            <w:r w:rsidRPr="004F0383">
              <w:t xml:space="preserve"> and acute bovine mastitis. In horses, </w:t>
            </w:r>
            <w:proofErr w:type="spellStart"/>
            <w:r w:rsidRPr="004F0383">
              <w:t>Flunixin</w:t>
            </w:r>
            <w:proofErr w:type="spellEnd"/>
            <w:r w:rsidRPr="004F0383">
              <w:t xml:space="preserve"> Injection is recommended for the alleviation of inflammation and pain of musculoskeletal disorders and for the alleviation of visceral pain associated with colic</w:t>
            </w:r>
          </w:p>
        </w:tc>
        <w:tc>
          <w:tcPr>
            <w:tcW w:w="1555" w:type="dxa"/>
          </w:tcPr>
          <w:p w:rsidR="00410A66" w:rsidRDefault="00410A66">
            <w:r w:rsidRPr="00726FAC">
              <w:t>Intravenous (jugular)</w:t>
            </w:r>
          </w:p>
        </w:tc>
        <w:tc>
          <w:tcPr>
            <w:tcW w:w="1302" w:type="dxa"/>
          </w:tcPr>
          <w:p w:rsidR="00410A66" w:rsidRDefault="00410A66">
            <w:r w:rsidRPr="00213DDF">
              <w:t>4 days for meat, 36 hours for milk.</w:t>
            </w:r>
          </w:p>
        </w:tc>
        <w:tc>
          <w:tcPr>
            <w:tcW w:w="1554" w:type="dxa"/>
          </w:tcPr>
          <w:p w:rsidR="00410A66" w:rsidRDefault="00410A66">
            <w:r w:rsidRPr="00213DDF">
              <w:t>2.25 pm</w:t>
            </w:r>
          </w:p>
        </w:tc>
        <w:tc>
          <w:tcPr>
            <w:tcW w:w="2753" w:type="dxa"/>
          </w:tcPr>
          <w:p w:rsidR="00410A66" w:rsidRDefault="00410A66" w:rsidP="004F733E">
            <w:pPr>
              <w:jc w:val="both"/>
            </w:pPr>
            <w:r w:rsidRPr="00213DDF">
              <w:t xml:space="preserve">Since many NSAIDs possess the potential to induce gastrointestinal ulceration, concomitant use of </w:t>
            </w:r>
            <w:proofErr w:type="spellStart"/>
            <w:r w:rsidRPr="00213DDF">
              <w:t>Flunixin</w:t>
            </w:r>
            <w:proofErr w:type="spellEnd"/>
            <w:r w:rsidRPr="00213DDF">
              <w:t xml:space="preserve"> Injectable Solution with other anti-inflammatory drugs, such as other NSAIDs and corticosteroids, should be avoided or closely monitored.</w:t>
            </w:r>
          </w:p>
        </w:tc>
      </w:tr>
      <w:tr w:rsidR="0045181B" w:rsidTr="00410A66">
        <w:tc>
          <w:tcPr>
            <w:tcW w:w="1235" w:type="dxa"/>
          </w:tcPr>
          <w:p w:rsidR="0045181B" w:rsidRDefault="0045181B">
            <w:proofErr w:type="spellStart"/>
            <w:r>
              <w:t>PenStrep</w:t>
            </w:r>
            <w:proofErr w:type="spellEnd"/>
          </w:p>
        </w:tc>
        <w:tc>
          <w:tcPr>
            <w:tcW w:w="1454" w:type="dxa"/>
          </w:tcPr>
          <w:p w:rsidR="0045181B" w:rsidRDefault="0045181B" w:rsidP="004F733E">
            <w:pPr>
              <w:jc w:val="both"/>
            </w:pPr>
            <w:r>
              <w:t>Bacterial Prophylaxis</w:t>
            </w:r>
          </w:p>
        </w:tc>
        <w:tc>
          <w:tcPr>
            <w:tcW w:w="4537" w:type="dxa"/>
          </w:tcPr>
          <w:p w:rsidR="007E2979" w:rsidRDefault="007E2979" w:rsidP="007E2979">
            <w:pPr>
              <w:jc w:val="both"/>
            </w:pPr>
            <w:r>
              <w:t xml:space="preserve">Penicillin shows a marked bactericidal action against most commonly occurring Gram-positive cocci, bacilli and anaerobes, and also against some Gram-negative germs (e.g. </w:t>
            </w:r>
            <w:proofErr w:type="spellStart"/>
            <w:r>
              <w:t>Actinobacillus</w:t>
            </w:r>
            <w:proofErr w:type="spellEnd"/>
            <w:r>
              <w:t xml:space="preserve">, Haemophilus, </w:t>
            </w:r>
            <w:proofErr w:type="spellStart"/>
            <w:r>
              <w:t>Leptospiren</w:t>
            </w:r>
            <w:proofErr w:type="spellEnd"/>
            <w:r>
              <w:t xml:space="preserve">, some </w:t>
            </w:r>
            <w:proofErr w:type="spellStart"/>
            <w:r>
              <w:t>Pasteurella</w:t>
            </w:r>
            <w:proofErr w:type="spellEnd"/>
            <w:r>
              <w:t xml:space="preserve"> </w:t>
            </w:r>
            <w:r>
              <w:lastRenderedPageBreak/>
              <w:t xml:space="preserve">strains, anaerobes such as Fusobacterium and </w:t>
            </w:r>
            <w:proofErr w:type="spellStart"/>
            <w:r>
              <w:t>Bacteroides</w:t>
            </w:r>
            <w:proofErr w:type="spellEnd"/>
            <w:r>
              <w:t xml:space="preserve">). </w:t>
            </w:r>
          </w:p>
          <w:p w:rsidR="007E2979" w:rsidRDefault="007E2979" w:rsidP="007E2979">
            <w:pPr>
              <w:jc w:val="both"/>
            </w:pPr>
            <w:r>
              <w:t xml:space="preserve">Dihydrostreptomycin is an aminoglycoside antibiotic predominantly active against Gram-negative cocci and bacilli, and also against some Gram-positive bacteria (e.g. Staph. aureus, Mycobacterium). </w:t>
            </w:r>
          </w:p>
          <w:p w:rsidR="0045181B" w:rsidRDefault="007E2979" w:rsidP="007E2979">
            <w:pPr>
              <w:jc w:val="both"/>
            </w:pPr>
            <w:r>
              <w:t>The combination of DHS and penicillin provides a bactericidal synergistic action with a broad spectrum.</w:t>
            </w:r>
          </w:p>
        </w:tc>
        <w:tc>
          <w:tcPr>
            <w:tcW w:w="1555" w:type="dxa"/>
          </w:tcPr>
          <w:p w:rsidR="0045181B" w:rsidRPr="00726FAC" w:rsidRDefault="007E2979">
            <w:r w:rsidRPr="007E2979">
              <w:lastRenderedPageBreak/>
              <w:t>Intramuscular (gluteus)</w:t>
            </w:r>
          </w:p>
        </w:tc>
        <w:tc>
          <w:tcPr>
            <w:tcW w:w="1302" w:type="dxa"/>
          </w:tcPr>
          <w:p w:rsidR="0045181B" w:rsidRPr="00213DDF" w:rsidRDefault="007E2979">
            <w:r w:rsidRPr="007E2979">
              <w:t>Meat-30 days. Milk-10 days</w:t>
            </w:r>
          </w:p>
        </w:tc>
        <w:tc>
          <w:tcPr>
            <w:tcW w:w="1554" w:type="dxa"/>
          </w:tcPr>
          <w:p w:rsidR="0045181B" w:rsidRPr="00213DDF" w:rsidRDefault="004B4277">
            <w:r w:rsidRPr="004B4277">
              <w:t>2:28 pm</w:t>
            </w:r>
          </w:p>
        </w:tc>
        <w:tc>
          <w:tcPr>
            <w:tcW w:w="2753" w:type="dxa"/>
          </w:tcPr>
          <w:p w:rsidR="0045181B" w:rsidRPr="00213DDF" w:rsidRDefault="004B4277" w:rsidP="004F733E">
            <w:pPr>
              <w:jc w:val="both"/>
            </w:pPr>
            <w:r w:rsidRPr="004B4277">
              <w:t xml:space="preserve">The drug is not administered to animals hypersensitive to penicillin and dihydrostreptomycin. Also, the composition cannot be administered </w:t>
            </w:r>
            <w:r w:rsidRPr="004B4277">
              <w:lastRenderedPageBreak/>
              <w:t xml:space="preserve">simultaneously with general </w:t>
            </w:r>
            <w:proofErr w:type="spellStart"/>
            <w:r w:rsidRPr="004B4277">
              <w:t>anesthetics</w:t>
            </w:r>
            <w:proofErr w:type="spellEnd"/>
            <w:r w:rsidRPr="004B4277">
              <w:t xml:space="preserve">, </w:t>
            </w:r>
            <w:proofErr w:type="spellStart"/>
            <w:r w:rsidRPr="004B4277">
              <w:t>miorelaxant</w:t>
            </w:r>
            <w:proofErr w:type="spellEnd"/>
            <w:r w:rsidRPr="004B4277">
              <w:t xml:space="preserve"> and magnesium preparations.</w:t>
            </w:r>
          </w:p>
        </w:tc>
      </w:tr>
    </w:tbl>
    <w:p w:rsidR="00E71B80" w:rsidRDefault="00E71B80"/>
    <w:p w:rsidR="007E2979" w:rsidRDefault="007E2979" w:rsidP="00E71B80">
      <w:pPr>
        <w:ind w:firstLine="720"/>
      </w:pPr>
    </w:p>
    <w:p w:rsidR="00E71B80" w:rsidRDefault="00E71B80" w:rsidP="00E71B80">
      <w:pPr>
        <w:ind w:firstLine="720"/>
      </w:pPr>
    </w:p>
    <w:p w:rsidR="00E71B80" w:rsidRDefault="00E71B80" w:rsidP="00E71B80">
      <w:pPr>
        <w:ind w:firstLine="720"/>
      </w:pPr>
    </w:p>
    <w:p w:rsidR="00E71B80" w:rsidRDefault="00E71B80" w:rsidP="00E71B80">
      <w:pPr>
        <w:ind w:firstLine="720"/>
        <w:rPr>
          <w:u w:val="single"/>
        </w:rPr>
      </w:pPr>
      <w:r w:rsidRPr="00E71B80">
        <w:rPr>
          <w:u w:val="single"/>
        </w:rPr>
        <w:t>Calculations</w:t>
      </w:r>
    </w:p>
    <w:p w:rsidR="00E71B80" w:rsidRPr="000F25E7" w:rsidRDefault="00E71B80" w:rsidP="00E71B80">
      <w:pPr>
        <w:jc w:val="both"/>
        <w:rPr>
          <w:sz w:val="24"/>
          <w:szCs w:val="24"/>
          <w:u w:val="single"/>
        </w:rPr>
      </w:pPr>
      <w:r w:rsidRPr="000F25E7">
        <w:rPr>
          <w:sz w:val="24"/>
          <w:szCs w:val="24"/>
          <w:u w:val="single"/>
        </w:rPr>
        <w:t>FLUNIXIN</w:t>
      </w:r>
    </w:p>
    <w:p w:rsidR="00E71B80" w:rsidRDefault="00E71B80" w:rsidP="00E71B80">
      <w:pPr>
        <w:jc w:val="both"/>
        <w:rPr>
          <w:sz w:val="24"/>
          <w:szCs w:val="24"/>
        </w:rPr>
      </w:pPr>
      <w:r>
        <w:rPr>
          <w:sz w:val="24"/>
          <w:szCs w:val="24"/>
        </w:rPr>
        <w:t>Dosage: 1.1 mg/kg</w:t>
      </w:r>
    </w:p>
    <w:p w:rsidR="00E71B80" w:rsidRDefault="00E71B80" w:rsidP="00E71B80">
      <w:pPr>
        <w:jc w:val="both"/>
        <w:rPr>
          <w:sz w:val="24"/>
          <w:szCs w:val="24"/>
        </w:rPr>
      </w:pPr>
      <w:r>
        <w:rPr>
          <w:sz w:val="24"/>
          <w:szCs w:val="24"/>
        </w:rPr>
        <w:t>Concentration: 50 mg/ml</w:t>
      </w:r>
    </w:p>
    <w:p w:rsidR="00A57631" w:rsidRDefault="00A57631" w:rsidP="00E71B80">
      <w:pPr>
        <w:jc w:val="both"/>
        <w:rPr>
          <w:sz w:val="24"/>
          <w:szCs w:val="24"/>
        </w:rPr>
      </w:pPr>
      <w:r>
        <w:rPr>
          <w:sz w:val="24"/>
          <w:szCs w:val="24"/>
        </w:rPr>
        <w:t>Weight of calf: 80 kg</w:t>
      </w:r>
    </w:p>
    <w:p w:rsidR="00E71B80" w:rsidRDefault="00E71B80" w:rsidP="00E71B80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Volume used=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1.1×80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  <w:r>
        <w:rPr>
          <w:rFonts w:eastAsiaTheme="minorEastAsia"/>
          <w:sz w:val="24"/>
          <w:szCs w:val="24"/>
        </w:rPr>
        <w:t>= 1.76 ml</w:t>
      </w:r>
    </w:p>
    <w:p w:rsidR="000F25E7" w:rsidRPr="000F25E7" w:rsidRDefault="000F25E7" w:rsidP="000F25E7">
      <w:pPr>
        <w:rPr>
          <w:sz w:val="24"/>
          <w:szCs w:val="24"/>
          <w:u w:val="single"/>
        </w:rPr>
      </w:pPr>
      <w:r w:rsidRPr="000F25E7">
        <w:rPr>
          <w:sz w:val="24"/>
          <w:szCs w:val="24"/>
          <w:u w:val="single"/>
        </w:rPr>
        <w:t>XYLAZINE</w:t>
      </w:r>
    </w:p>
    <w:p w:rsidR="000F25E7" w:rsidRDefault="000F25E7" w:rsidP="000F25E7">
      <w:pPr>
        <w:rPr>
          <w:sz w:val="24"/>
          <w:szCs w:val="24"/>
        </w:rPr>
      </w:pPr>
      <w:r>
        <w:rPr>
          <w:sz w:val="24"/>
          <w:szCs w:val="24"/>
        </w:rPr>
        <w:t>Dosage: 0.025 mg/kg</w:t>
      </w:r>
    </w:p>
    <w:p w:rsidR="000F25E7" w:rsidRDefault="000F25E7" w:rsidP="000F25E7">
      <w:pPr>
        <w:rPr>
          <w:sz w:val="24"/>
          <w:szCs w:val="24"/>
        </w:rPr>
      </w:pPr>
      <w:r>
        <w:rPr>
          <w:sz w:val="24"/>
          <w:szCs w:val="24"/>
        </w:rPr>
        <w:t>Concentration: 20 mg/ml</w:t>
      </w:r>
    </w:p>
    <w:p w:rsidR="000F25E7" w:rsidRDefault="000F25E7" w:rsidP="000F25E7">
      <w:pPr>
        <w:rPr>
          <w:sz w:val="24"/>
          <w:szCs w:val="24"/>
        </w:rPr>
      </w:pPr>
      <w:r>
        <w:rPr>
          <w:sz w:val="24"/>
          <w:szCs w:val="24"/>
        </w:rPr>
        <w:t>Weight of calf: 80 kg</w:t>
      </w:r>
    </w:p>
    <w:p w:rsidR="000F25E7" w:rsidRDefault="000F25E7" w:rsidP="000F25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Volume: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Dose × weight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concentration</m:t>
            </m:r>
          </m:den>
        </m:f>
      </m:oMath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0.025×80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sz w:val="24"/>
          <w:szCs w:val="24"/>
        </w:rPr>
        <w:t>= 0.1 ml</w:t>
      </w:r>
    </w:p>
    <w:p w:rsidR="004B4277" w:rsidRDefault="004B4277" w:rsidP="000F25E7">
      <w:pPr>
        <w:rPr>
          <w:rFonts w:eastAsiaTheme="minorEastAsia"/>
          <w:sz w:val="24"/>
          <w:szCs w:val="24"/>
        </w:rPr>
      </w:pPr>
    </w:p>
    <w:p w:rsidR="004B4277" w:rsidRDefault="004B4277" w:rsidP="000F25E7">
      <w:pPr>
        <w:rPr>
          <w:rFonts w:eastAsiaTheme="minorEastAsia"/>
          <w:sz w:val="24"/>
          <w:szCs w:val="24"/>
        </w:rPr>
      </w:pPr>
    </w:p>
    <w:p w:rsidR="004B4277" w:rsidRDefault="004B4277" w:rsidP="000F25E7">
      <w:pPr>
        <w:rPr>
          <w:rFonts w:eastAsiaTheme="minorEastAsia"/>
          <w:sz w:val="24"/>
          <w:szCs w:val="24"/>
          <w:u w:val="single"/>
        </w:rPr>
      </w:pPr>
      <w:r w:rsidRPr="004B4277">
        <w:rPr>
          <w:rFonts w:eastAsiaTheme="minorEastAsia"/>
          <w:sz w:val="24"/>
          <w:szCs w:val="24"/>
          <w:u w:val="single"/>
        </w:rPr>
        <w:lastRenderedPageBreak/>
        <w:t>PENSTREP</w:t>
      </w:r>
    </w:p>
    <w:p w:rsidR="004B4277" w:rsidRPr="004B4277" w:rsidRDefault="004B4277" w:rsidP="004B4277">
      <w:r w:rsidRPr="004B4277">
        <w:t>Dosage: 20,000 IU</w:t>
      </w:r>
    </w:p>
    <w:p w:rsidR="004B4277" w:rsidRPr="004B4277" w:rsidRDefault="004B4277" w:rsidP="004B4277">
      <w:r w:rsidRPr="004B4277">
        <w:t>Concentration: 200,000 IU</w:t>
      </w:r>
    </w:p>
    <w:p w:rsidR="004B4277" w:rsidRPr="004B4277" w:rsidRDefault="004B4277" w:rsidP="004B4277">
      <w:pPr>
        <w:rPr>
          <w:rFonts w:eastAsiaTheme="minorEastAsia"/>
        </w:rPr>
      </w:pPr>
      <w:r w:rsidRPr="004B4277">
        <w:t xml:space="preserve">Volume: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20,000×80</m:t>
            </m:r>
          </m:num>
          <m:den>
            <m:r>
              <w:rPr>
                <w:rFonts w:ascii="Cambria Math" w:hAnsi="Cambria Math"/>
              </w:rPr>
              <m:t>200,000</m:t>
            </m:r>
          </m:den>
        </m:f>
      </m:oMath>
      <w:r w:rsidRPr="004B4277">
        <w:rPr>
          <w:rFonts w:eastAsiaTheme="minorEastAsia"/>
        </w:rPr>
        <w:t>= 8ml</w:t>
      </w:r>
    </w:p>
    <w:p w:rsidR="004B4277" w:rsidRPr="004B4277" w:rsidRDefault="004B4277" w:rsidP="000F25E7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E71B80" w:rsidRDefault="00E71B80" w:rsidP="00E71B80">
      <w:pPr>
        <w:jc w:val="both"/>
        <w:rPr>
          <w:rFonts w:eastAsiaTheme="minorEastAsia"/>
          <w:sz w:val="24"/>
          <w:szCs w:val="24"/>
        </w:rPr>
      </w:pPr>
    </w:p>
    <w:p w:rsidR="004B4277" w:rsidRDefault="004B4277" w:rsidP="00E71B80">
      <w:pPr>
        <w:jc w:val="both"/>
        <w:rPr>
          <w:rFonts w:eastAsiaTheme="minorEastAsia"/>
          <w:sz w:val="24"/>
          <w:szCs w:val="24"/>
        </w:rPr>
      </w:pPr>
    </w:p>
    <w:p w:rsidR="00E71B80" w:rsidRDefault="00E71B80" w:rsidP="00E71B80">
      <w:pPr>
        <w:jc w:val="both"/>
        <w:rPr>
          <w:rFonts w:eastAsiaTheme="minorEastAsia"/>
          <w:sz w:val="24"/>
          <w:szCs w:val="24"/>
        </w:rPr>
      </w:pPr>
    </w:p>
    <w:p w:rsidR="00E71B80" w:rsidRDefault="00E71B80" w:rsidP="00E71B80">
      <w:pPr>
        <w:jc w:val="both"/>
        <w:rPr>
          <w:rFonts w:eastAsiaTheme="minorEastAsia"/>
          <w:sz w:val="24"/>
          <w:szCs w:val="24"/>
        </w:rPr>
      </w:pPr>
    </w:p>
    <w:p w:rsidR="00E71B80" w:rsidRDefault="00E71B80" w:rsidP="00E71B80">
      <w:pPr>
        <w:jc w:val="both"/>
        <w:rPr>
          <w:rFonts w:eastAsiaTheme="minorEastAsia"/>
          <w:sz w:val="24"/>
          <w:szCs w:val="24"/>
        </w:rPr>
      </w:pPr>
    </w:p>
    <w:p w:rsidR="00E71B80" w:rsidRPr="00E71B80" w:rsidRDefault="00E71B80" w:rsidP="00E71B80">
      <w:pPr>
        <w:ind w:firstLine="720"/>
      </w:pPr>
    </w:p>
    <w:sectPr w:rsidR="00E71B80" w:rsidRPr="00E71B80" w:rsidSect="003D73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8"/>
    <w:rsid w:val="00012DE9"/>
    <w:rsid w:val="000F25E7"/>
    <w:rsid w:val="000F465E"/>
    <w:rsid w:val="00213DDF"/>
    <w:rsid w:val="002873F8"/>
    <w:rsid w:val="00322A6F"/>
    <w:rsid w:val="00373EA0"/>
    <w:rsid w:val="003D733B"/>
    <w:rsid w:val="00410A66"/>
    <w:rsid w:val="0045181B"/>
    <w:rsid w:val="004B4277"/>
    <w:rsid w:val="004F0383"/>
    <w:rsid w:val="004F733E"/>
    <w:rsid w:val="00726FAC"/>
    <w:rsid w:val="007E2979"/>
    <w:rsid w:val="009D68D4"/>
    <w:rsid w:val="00A2120D"/>
    <w:rsid w:val="00A404DF"/>
    <w:rsid w:val="00A57631"/>
    <w:rsid w:val="00A95B4A"/>
    <w:rsid w:val="00B303F5"/>
    <w:rsid w:val="00C059A3"/>
    <w:rsid w:val="00CD1496"/>
    <w:rsid w:val="00D1318D"/>
    <w:rsid w:val="00DB4165"/>
    <w:rsid w:val="00E71B80"/>
    <w:rsid w:val="00F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E5263F-F854-45AF-A94D-B918D2A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2016-09-25T15:16:00Z</dcterms:created>
  <dcterms:modified xsi:type="dcterms:W3CDTF">2016-09-25T16:14:00Z</dcterms:modified>
</cp:coreProperties>
</file>