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37" w:rsidRPr="00AE1C3A" w:rsidRDefault="00310837" w:rsidP="001E4AF1">
      <w:p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883ABB" wp14:editId="40420122">
            <wp:simplePos x="0" y="0"/>
            <wp:positionH relativeFrom="column">
              <wp:posOffset>-847724</wp:posOffset>
            </wp:positionH>
            <wp:positionV relativeFrom="paragraph">
              <wp:posOffset>0</wp:posOffset>
            </wp:positionV>
            <wp:extent cx="2132330" cy="2256906"/>
            <wp:effectExtent l="0" t="0" r="1270" b="0"/>
            <wp:wrapNone/>
            <wp:docPr id="2" name="Picture 2" descr="http://www.clintpharmaceuticals.com/mm5/graphics/00000001/Anesthetics%20-01-0116202%20-%20Bupivicaine%200.5%20-%2030ml%20SDV%20-%20Box-25_04_1000x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ntpharmaceuticals.com/mm5/graphics/00000001/Anesthetics%20-01-0116202%20-%20Bupivicaine%200.5%20-%2030ml%20SDV%20-%20Box-25_04_1000x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95" cy="226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F1" w:rsidRPr="00AE1C3A">
        <w:rPr>
          <w:rFonts w:ascii="Times New Roman" w:hAnsi="Times New Roman" w:cs="Times New Roman"/>
          <w:sz w:val="24"/>
          <w:szCs w:val="24"/>
        </w:rPr>
        <w:t xml:space="preserve"> </w:t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b/>
          <w:sz w:val="24"/>
          <w:szCs w:val="24"/>
        </w:rPr>
        <w:t>AGENT</w:t>
      </w:r>
      <w:r w:rsidRPr="00AE1C3A">
        <w:rPr>
          <w:rFonts w:ascii="Times New Roman" w:hAnsi="Times New Roman" w:cs="Times New Roman"/>
          <w:sz w:val="24"/>
          <w:szCs w:val="24"/>
        </w:rPr>
        <w:t>:</w:t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sz w:val="24"/>
          <w:szCs w:val="24"/>
        </w:rPr>
        <w:t xml:space="preserve">        </w:t>
      </w:r>
      <w:r w:rsidR="008F5317" w:rsidRPr="00AE1C3A">
        <w:rPr>
          <w:rFonts w:ascii="Times New Roman" w:hAnsi="Times New Roman" w:cs="Times New Roman"/>
          <w:sz w:val="24"/>
          <w:szCs w:val="24"/>
        </w:rPr>
        <w:t>Bupivacaine HCL</w:t>
      </w:r>
    </w:p>
    <w:p w:rsidR="00310837" w:rsidRPr="00AE1C3A" w:rsidRDefault="00310837" w:rsidP="00310837">
      <w:p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b/>
          <w:sz w:val="24"/>
          <w:szCs w:val="24"/>
        </w:rPr>
        <w:t>TRADE NAME</w:t>
      </w:r>
      <w:r w:rsidR="001E4AF1" w:rsidRPr="00AE1C3A">
        <w:rPr>
          <w:rFonts w:ascii="Times New Roman" w:hAnsi="Times New Roman" w:cs="Times New Roman"/>
          <w:sz w:val="24"/>
          <w:szCs w:val="24"/>
        </w:rPr>
        <w:t>:</w:t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F5317" w:rsidRPr="00AE1C3A">
        <w:rPr>
          <w:rFonts w:ascii="Times New Roman" w:hAnsi="Times New Roman" w:cs="Times New Roman"/>
          <w:sz w:val="24"/>
          <w:szCs w:val="24"/>
        </w:rPr>
        <w:t>Marcaine</w:t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</w:p>
    <w:p w:rsidR="00310837" w:rsidRPr="00AE1C3A" w:rsidRDefault="00310837" w:rsidP="00310837">
      <w:p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b/>
          <w:sz w:val="24"/>
          <w:szCs w:val="24"/>
        </w:rPr>
        <w:t>CHEMICAL NAME</w:t>
      </w:r>
      <w:r w:rsidRPr="00AE1C3A">
        <w:rPr>
          <w:rFonts w:ascii="Times New Roman" w:hAnsi="Times New Roman" w:cs="Times New Roman"/>
          <w:sz w:val="24"/>
          <w:szCs w:val="24"/>
        </w:rPr>
        <w:t>:</w:t>
      </w:r>
      <w:r w:rsidR="001E0A6A" w:rsidRPr="00AE1C3A">
        <w:rPr>
          <w:rFonts w:ascii="Times New Roman" w:hAnsi="Times New Roman" w:cs="Times New Roman"/>
          <w:sz w:val="24"/>
          <w:szCs w:val="24"/>
        </w:rPr>
        <w:t xml:space="preserve">       </w:t>
      </w:r>
      <w:r w:rsidR="008F5317" w:rsidRPr="00AE1C3A">
        <w:rPr>
          <w:rFonts w:ascii="Times New Roman" w:hAnsi="Times New Roman" w:cs="Times New Roman"/>
          <w:sz w:val="24"/>
          <w:szCs w:val="24"/>
        </w:rPr>
        <w:t>1-butyl-2’,6’ pipecoloxylidide-HCL</w:t>
      </w:r>
    </w:p>
    <w:p w:rsidR="008F5317" w:rsidRPr="00AE1C3A" w:rsidRDefault="00310837" w:rsidP="008F531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b/>
          <w:sz w:val="24"/>
          <w:szCs w:val="24"/>
        </w:rPr>
        <w:t>ONSET</w:t>
      </w:r>
      <w:r w:rsidR="001E4AF1" w:rsidRPr="00AE1C3A">
        <w:rPr>
          <w:rFonts w:ascii="Times New Roman" w:hAnsi="Times New Roman" w:cs="Times New Roman"/>
          <w:sz w:val="24"/>
          <w:szCs w:val="24"/>
        </w:rPr>
        <w:t>:</w:t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</w:r>
      <w:r w:rsidR="001E4AF1" w:rsidRPr="00AE1C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F5317" w:rsidRPr="00AE1C3A">
        <w:rPr>
          <w:rFonts w:ascii="Times New Roman" w:hAnsi="Times New Roman" w:cs="Times New Roman"/>
          <w:sz w:val="24"/>
          <w:szCs w:val="24"/>
        </w:rPr>
        <w:t xml:space="preserve">10-30 minutes (depends on route of         </w:t>
      </w:r>
    </w:p>
    <w:p w:rsidR="00310837" w:rsidRPr="00AE1C3A" w:rsidRDefault="008F5317" w:rsidP="008F531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0A6A" w:rsidRPr="00AE1C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1C3A">
        <w:rPr>
          <w:rFonts w:ascii="Times New Roman" w:hAnsi="Times New Roman" w:cs="Times New Roman"/>
          <w:sz w:val="24"/>
          <w:szCs w:val="24"/>
        </w:rPr>
        <w:t>administration</w:t>
      </w:r>
    </w:p>
    <w:p w:rsidR="008F5317" w:rsidRPr="00AE1C3A" w:rsidRDefault="00310837" w:rsidP="00310837">
      <w:p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="008F5317" w:rsidRPr="00AE1C3A">
        <w:rPr>
          <w:rFonts w:ascii="Times New Roman" w:hAnsi="Times New Roman" w:cs="Times New Roman"/>
          <w:sz w:val="24"/>
          <w:szCs w:val="24"/>
        </w:rPr>
        <w:tab/>
      </w:r>
    </w:p>
    <w:p w:rsidR="00310837" w:rsidRPr="00AE1C3A" w:rsidRDefault="001E4AF1" w:rsidP="001E4AF1">
      <w:p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 xml:space="preserve">  </w:t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Pr="00AE1C3A">
        <w:rPr>
          <w:rFonts w:ascii="Times New Roman" w:hAnsi="Times New Roman" w:cs="Times New Roman"/>
          <w:sz w:val="24"/>
          <w:szCs w:val="24"/>
        </w:rPr>
        <w:tab/>
      </w:r>
      <w:r w:rsidR="00310837" w:rsidRPr="00AE1C3A">
        <w:rPr>
          <w:rFonts w:ascii="Times New Roman" w:hAnsi="Times New Roman" w:cs="Times New Roman"/>
          <w:b/>
          <w:sz w:val="24"/>
          <w:szCs w:val="24"/>
        </w:rPr>
        <w:t>DURATION:</w:t>
      </w:r>
      <w:r w:rsidR="00E440BC" w:rsidRPr="00AE1C3A">
        <w:rPr>
          <w:rFonts w:ascii="Times New Roman" w:hAnsi="Times New Roman" w:cs="Times New Roman"/>
          <w:b/>
          <w:sz w:val="24"/>
          <w:szCs w:val="24"/>
        </w:rPr>
        <w:tab/>
      </w:r>
      <w:r w:rsidR="00E440BC" w:rsidRPr="00AE1C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0A6A" w:rsidRPr="00AE1C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5317" w:rsidRPr="00AE1C3A">
        <w:rPr>
          <w:rFonts w:ascii="Times New Roman" w:hAnsi="Times New Roman" w:cs="Times New Roman"/>
          <w:sz w:val="24"/>
          <w:szCs w:val="24"/>
        </w:rPr>
        <w:t>180-480 minutes</w:t>
      </w:r>
    </w:p>
    <w:p w:rsidR="008F5317" w:rsidRPr="00AE1C3A" w:rsidRDefault="008F5317" w:rsidP="008F5317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5317" w:rsidRPr="00AE1C3A" w:rsidRDefault="008F5317" w:rsidP="008F5317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1E4AF1" w:rsidRPr="00AE1C3A" w:rsidRDefault="001E4A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837" w:rsidRPr="00AE1C3A" w:rsidRDefault="008F5317">
      <w:pPr>
        <w:rPr>
          <w:rFonts w:ascii="Times New Roman" w:hAnsi="Times New Roman" w:cs="Times New Roman"/>
          <w:b/>
          <w:sz w:val="24"/>
          <w:szCs w:val="24"/>
        </w:rPr>
      </w:pPr>
      <w:r w:rsidRPr="00AE1C3A">
        <w:rPr>
          <w:rFonts w:ascii="Times New Roman" w:hAnsi="Times New Roman" w:cs="Times New Roman"/>
          <w:b/>
          <w:sz w:val="24"/>
          <w:szCs w:val="24"/>
          <w:u w:val="single"/>
        </w:rPr>
        <w:t>AVAILABLE AS:</w:t>
      </w:r>
    </w:p>
    <w:p w:rsidR="008F5317" w:rsidRPr="00AE1C3A" w:rsidRDefault="008F5317" w:rsidP="008F5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>An aqueous solution in various concentrations (0.25- 0.75%)</w:t>
      </w:r>
    </w:p>
    <w:p w:rsidR="00E440BC" w:rsidRPr="00AE1C3A" w:rsidRDefault="00E440BC" w:rsidP="008F5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>The 0.5% (5mg/ml) formulation is most commonly used.</w:t>
      </w:r>
    </w:p>
    <w:p w:rsidR="00E440BC" w:rsidRPr="00AE1C3A" w:rsidRDefault="00E440BC" w:rsidP="00E440BC">
      <w:pPr>
        <w:rPr>
          <w:rFonts w:ascii="Times New Roman" w:hAnsi="Times New Roman" w:cs="Times New Roman"/>
          <w:sz w:val="24"/>
          <w:szCs w:val="24"/>
        </w:rPr>
      </w:pPr>
    </w:p>
    <w:p w:rsidR="00E440BC" w:rsidRPr="00AE1C3A" w:rsidRDefault="00E440BC" w:rsidP="00E44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C3A">
        <w:rPr>
          <w:rFonts w:ascii="Times New Roman" w:hAnsi="Times New Roman" w:cs="Times New Roman"/>
          <w:b/>
          <w:sz w:val="24"/>
          <w:szCs w:val="24"/>
          <w:u w:val="single"/>
        </w:rPr>
        <w:t>INDICATIONS:</w:t>
      </w:r>
    </w:p>
    <w:p w:rsidR="00E440BC" w:rsidRPr="00AE1C3A" w:rsidRDefault="00E440BC" w:rsidP="001E0A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C3A">
        <w:rPr>
          <w:rFonts w:ascii="Times New Roman" w:hAnsi="Times New Roman" w:cs="Times New Roman"/>
          <w:sz w:val="24"/>
          <w:szCs w:val="24"/>
        </w:rPr>
        <w:t>Bupivacaine is a potent local anesthetic</w:t>
      </w:r>
      <w:r w:rsidR="00AE1C3A" w:rsidRPr="00AE1C3A">
        <w:rPr>
          <w:rFonts w:ascii="Times New Roman" w:hAnsi="Times New Roman" w:cs="Times New Roman"/>
          <w:sz w:val="24"/>
          <w:szCs w:val="24"/>
        </w:rPr>
        <w:t xml:space="preserve"> used in equine medicine</w:t>
      </w:r>
      <w:r w:rsidRPr="00AE1C3A">
        <w:rPr>
          <w:rFonts w:ascii="Times New Roman" w:hAnsi="Times New Roman" w:cs="Times New Roman"/>
          <w:sz w:val="24"/>
          <w:szCs w:val="24"/>
        </w:rPr>
        <w:t>. It i</w:t>
      </w:r>
      <w:r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>s used to induce regional anesthesia for humane relief of pain, because it provides anesthesia that lasts 4–6 hr</w:t>
      </w:r>
      <w:r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E4AF1"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long duration of action of this drug renders it less suitable for diagnostic nerve blocks, but often more suitable for peri-operative analgesia of the distal limb. More proximal nerve blockade, however can compromise recovery quality because the patient effectively has a ‘dead leg’.</w:t>
      </w:r>
    </w:p>
    <w:p w:rsidR="001E4AF1" w:rsidRPr="00AE1C3A" w:rsidRDefault="001E4AF1" w:rsidP="001E0A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4AF1" w:rsidRPr="00AE1C3A" w:rsidRDefault="001E4AF1" w:rsidP="00E440B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E1C3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DOSAGE:</w:t>
      </w:r>
    </w:p>
    <w:p w:rsidR="008A7E69" w:rsidRPr="00AE1C3A" w:rsidRDefault="008A7E69" w:rsidP="00AE1C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peripheral nerve blocks and caudal epidural anesthesia are in the range 0.05-0.08 mg/kg </w:t>
      </w:r>
      <w:r w:rsidR="00AE1C3A"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E1C3A"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>i.e.</w:t>
      </w:r>
      <w:r w:rsidRP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5-8ml of the 0.5% solution in an average adult </w:t>
      </w:r>
      <w:r w:rsidR="00AE1C3A">
        <w:rPr>
          <w:rFonts w:ascii="Times New Roman" w:hAnsi="Times New Roman" w:cs="Times New Roman"/>
          <w:sz w:val="24"/>
          <w:szCs w:val="24"/>
          <w:shd w:val="clear" w:color="auto" w:fill="FFFFFF"/>
        </w:rPr>
        <w:t>horse).</w:t>
      </w:r>
      <w:bookmarkStart w:id="0" w:name="_GoBack"/>
      <w:bookmarkEnd w:id="0"/>
    </w:p>
    <w:sectPr w:rsidR="008A7E69" w:rsidRPr="00AE1C3A" w:rsidSect="008F5317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5D38"/>
    <w:multiLevelType w:val="hybridMultilevel"/>
    <w:tmpl w:val="F9945A6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35BB4"/>
    <w:multiLevelType w:val="hybridMultilevel"/>
    <w:tmpl w:val="86EA61C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37"/>
    <w:rsid w:val="001E0A6A"/>
    <w:rsid w:val="001E4AF1"/>
    <w:rsid w:val="00310837"/>
    <w:rsid w:val="00720C13"/>
    <w:rsid w:val="008A7E69"/>
    <w:rsid w:val="008F5317"/>
    <w:rsid w:val="00AE1C3A"/>
    <w:rsid w:val="00E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DC521"/>
  <w15:chartTrackingRefBased/>
  <w15:docId w15:val="{D7EED4DD-2EC5-4A1C-AAD8-A73648D8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4</cp:revision>
  <dcterms:created xsi:type="dcterms:W3CDTF">2017-09-15T21:15:00Z</dcterms:created>
  <dcterms:modified xsi:type="dcterms:W3CDTF">2017-09-16T00:36:00Z</dcterms:modified>
</cp:coreProperties>
</file>