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13" w:rsidRDefault="00052EB0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it-IT"/>
        </w:rPr>
      </w:pPr>
      <w:r w:rsidRPr="00F075A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it-IT"/>
        </w:rPr>
        <w:t>Prima dell’Accademia</w:t>
      </w:r>
    </w:p>
    <w:p w:rsidR="00F075AC" w:rsidRPr="00A73B13" w:rsidRDefault="00F075AC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it-IT"/>
        </w:rPr>
      </w:pPr>
    </w:p>
    <w:p w:rsidR="00961729" w:rsidRPr="00961729" w:rsidRDefault="00A73B13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Alla 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fine del Seicento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 l’Italia diventa teatro di un massiccio lavoro culturale di ricezione e divulgazione dei nuovi indirizzi filosofici e scientifici, sia locali che europei. Una nuova corrente di pensier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o rifiuta dogmi e tradizioni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in favore di 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un ripensamento della figura dell’intellettuale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, in particolar modo alla luce delle opere di </w:t>
      </w:r>
      <w:hyperlink r:id="rId5" w:history="1">
        <w:r w:rsidRPr="00961729">
          <w:rPr>
            <w:rFonts w:ascii="Times New Roman" w:eastAsia="Times New Roman" w:hAnsi="Times New Roman" w:cs="Times New Roman"/>
            <w:sz w:val="18"/>
            <w:szCs w:val="18"/>
            <w:lang w:eastAsia="it-IT"/>
          </w:rPr>
          <w:t>Galileo Galilei</w:t>
        </w:r>
      </w:hyperlink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</w:t>
      </w:r>
      <w:hyperlink r:id="rId6" w:history="1">
        <w:r w:rsidRPr="00961729">
          <w:rPr>
            <w:rFonts w:ascii="Times New Roman" w:eastAsia="Times New Roman" w:hAnsi="Times New Roman" w:cs="Times New Roman"/>
            <w:sz w:val="18"/>
            <w:szCs w:val="18"/>
            <w:lang w:eastAsia="it-IT"/>
          </w:rPr>
          <w:t>Cartesio</w:t>
        </w:r>
      </w:hyperlink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="00961729"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A 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Napoli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 nasce </w:t>
      </w:r>
      <w:r w:rsidRPr="00961729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l’Accademia degli Investiganti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, fondata nel 1650 da Tommaso Cornelio</w:t>
      </w:r>
      <w:r w:rsidR="00961729"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principale esponente 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della diffusione del pensiero cartesiano in Italia</w:t>
      </w:r>
      <w:r w:rsidR="00961729"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961729" w:rsidRDefault="00961729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La ricerca </w:t>
      </w:r>
      <w:proofErr w:type="spellStart"/>
      <w:r w:rsidR="00A73B13"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filo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sofico-scientifica</w:t>
      </w:r>
      <w:proofErr w:type="spellEnd"/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viene </w:t>
      </w:r>
      <w:r w:rsidR="00A73B13"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affiancata da quella letteraria, che vede da un lato un generale </w:t>
      </w:r>
      <w:r w:rsidR="00A73B13"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rifiuto del Barocco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 (ad esempio, </w:t>
      </w:r>
      <w:r w:rsidR="00A73B13"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le opere di </w:t>
      </w:r>
      <w:proofErr w:type="spellStart"/>
      <w:r w:rsidR="003938B2"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fldChar w:fldCharType="begin"/>
      </w:r>
      <w:r w:rsidR="00A73B13"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instrText xml:space="preserve"> HYPERLINK "http://www.oilproject.org/lezione/marino-vita-adone-letteratura-barocca-concettismo-metafora-8339.html" </w:instrText>
      </w:r>
      <w:r w:rsidR="003938B2"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fldChar w:fldCharType="separate"/>
      </w:r>
      <w:r w:rsidR="00A73B13"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Giovan</w:t>
      </w:r>
      <w:proofErr w:type="spellEnd"/>
      <w:r w:rsidR="00A73B13"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Battista Marino</w:t>
      </w:r>
      <w:r w:rsidR="003938B2"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fldChar w:fldCharType="end"/>
      </w:r>
      <w:r w:rsidR="00A73B13"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) e che dall’altro recupera, in ottica classicista, il modello di Petrarca e del </w:t>
      </w:r>
      <w:hyperlink r:id="rId7" w:history="1">
        <w:r w:rsidR="00A73B13" w:rsidRPr="00961729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it-IT"/>
          </w:rPr>
          <w:t>Canzoniere</w:t>
        </w:r>
      </w:hyperlink>
      <w:r w:rsidR="00A73B13"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, inteso come un modello, oltre che di poesia, di </w:t>
      </w:r>
      <w:r w:rsidR="00A73B13"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ordine, razionalità e chiarezza</w:t>
      </w:r>
      <w:r w:rsidR="00A73B13"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che diventano le parole d’ordine dell’espressione letteraria e del rapporto tra l’uomo e il mondo. </w:t>
      </w:r>
    </w:p>
    <w:p w:rsidR="00A73B13" w:rsidRPr="00A73B13" w:rsidRDefault="00A73B13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A caratterizzare questa evoluzione del gusto e della pratica letterarie è anche 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una considerevole attività teorica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, che sviluppa le premesse ideologiche che anticipano la costituzione dell’Accademia dell’Arcadia.</w:t>
      </w:r>
    </w:p>
    <w:p w:rsidR="00A73B13" w:rsidRPr="00A73B13" w:rsidRDefault="00961729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Un a</w:t>
      </w:r>
      <w:r w:rsidR="00A73B13"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ltro importante elemen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to è la formazione</w:t>
      </w:r>
      <w:r w:rsidR="00A73B13"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all’interno del ceto intellettuale di gruppi di poeti o letterati, spesso riuniti attorno allo </w:t>
      </w:r>
      <w:r w:rsidR="00A73B13"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spazio fisico di una “accademia”</w:t>
      </w:r>
      <w:r w:rsidR="00A73B13"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, che perseguono 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comuni ideali </w:t>
      </w:r>
      <w:r w:rsidR="00A73B13"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di poetica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 e condividono la stessa </w:t>
      </w:r>
      <w:r w:rsidR="00A73B13"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idea di letteratura</w:t>
      </w:r>
      <w:r w:rsidR="00A73B13"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. In tal senso, propedeutica alla nascita dell’Accademia degli Arcadi, è la fondazione a Roma nel 1674 dell’Accademia Reale, per volere di 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Cristina di Svezia, </w:t>
      </w:r>
      <w:r w:rsidR="00A73B13"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letterata, mecenate e protettrice della cultura.</w:t>
      </w:r>
    </w:p>
    <w:p w:rsidR="00A73B13" w:rsidRPr="00A73B13" w:rsidRDefault="00A73B13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052EB0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 </w:t>
      </w:r>
    </w:p>
    <w:p w:rsidR="00A73B13" w:rsidRDefault="00A73B13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it-IT"/>
        </w:rPr>
      </w:pPr>
      <w:r w:rsidRPr="00F075A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it-IT"/>
        </w:rPr>
        <w:t>Le caratteristiche dell’Accademia</w:t>
      </w:r>
    </w:p>
    <w:p w:rsidR="00F075AC" w:rsidRPr="00A73B13" w:rsidRDefault="00F075AC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it-IT"/>
        </w:rPr>
      </w:pPr>
    </w:p>
    <w:p w:rsidR="00A73B13" w:rsidRDefault="00A73B13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  <w:r w:rsidR="00F075AC" w:rsidRPr="00F075A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>
            <wp:extent cx="2335044" cy="1413164"/>
            <wp:effectExtent l="19050" t="0" r="8106" b="0"/>
            <wp:docPr id="2" name="Immagine 1" descr="Risultati immagini per accademia dell'arca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ccademia dell'arcad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04" cy="141398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5AC" w:rsidRPr="00A73B13" w:rsidRDefault="00F075AC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961729" w:rsidRPr="00A364DA" w:rsidRDefault="00A73B13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Al</w:t>
      </w:r>
      <w:r w:rsidR="00961729"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la morte di Cristina di Svezia 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nel 1689, l’Accademia Reale</w:t>
      </w:r>
      <w:r w:rsidR="00961729"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052EB0"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>si sciolse</w:t>
      </w:r>
      <w:r w:rsidR="00961729"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per riformarsi </w:t>
      </w:r>
      <w:r w:rsidR="00052EB0"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>sotto la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forma di </w:t>
      </w:r>
      <w:r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>Accademia degli Arcadi</w:t>
      </w:r>
      <w:r w:rsidR="00052EB0"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 - 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più nota come Arcadia</w:t>
      </w:r>
      <w:r w:rsidR="00961729"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A73B13" w:rsidRPr="00A73B13" w:rsidRDefault="00A73B13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L’atto costitutivo viene sti</w:t>
      </w:r>
      <w:r w:rsidR="00961729"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>pulato da quattordici letterati; i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l gruppo affonda</w:t>
      </w:r>
      <w:r w:rsidR="00052EB0"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>va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le radici della sua poetica nelle opere della </w:t>
      </w:r>
      <w:r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>classicità greca e latin</w:t>
      </w:r>
      <w:r w:rsidR="00961729"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>a.</w:t>
      </w:r>
      <w:r w:rsidR="00A364DA" w:rsidRPr="00A364D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Nata per contrastare gli aspetti più stravaganti, turgidi e ampollosi della letteratura barocca, attraverso un ritorno al classicismo e al buon gusto dei tempi di Augusto e di Leone X, ebbe da subito grande vitalità e costituì la prima vera forma di organizzazione nazionale della cultura italiana</w:t>
      </w:r>
      <w:r w:rsidR="00961729"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A364DA" w:rsidRPr="00A364D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L’uso di pseudonimi pastorali e tutti gli altri elementi rituali che caratterizzano la vita associativa dell’Accademia, ispirati all’</w:t>
      </w:r>
      <w:r w:rsidR="00A364DA" w:rsidRPr="00A364DA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Arcadia</w:t>
      </w:r>
      <w:r w:rsidR="00A364DA" w:rsidRPr="00A364D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 di Jacopo </w:t>
      </w:r>
      <w:proofErr w:type="spellStart"/>
      <w:r w:rsidR="00A364DA" w:rsidRPr="00A364DA">
        <w:rPr>
          <w:rFonts w:ascii="Times New Roman" w:hAnsi="Times New Roman" w:cs="Times New Roman"/>
          <w:sz w:val="18"/>
          <w:szCs w:val="18"/>
          <w:shd w:val="clear" w:color="auto" w:fill="FFFFFF"/>
        </w:rPr>
        <w:t>Sannazaro</w:t>
      </w:r>
      <w:proofErr w:type="spellEnd"/>
      <w:r w:rsidR="00A364DA" w:rsidRPr="00A364D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e ad altri classici della letteratura bucolica, furono codificati nelle dodici leggi composte da </w:t>
      </w:r>
      <w:hyperlink r:id="rId9" w:tgtFrame="_blank" w:tooltip="Gian Vincenzo Gravina" w:history="1">
        <w:r w:rsidR="00A364DA" w:rsidRPr="00A364DA">
          <w:rPr>
            <w:rStyle w:val="Collegamentoipertestuale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Gian Vincenzo Gravina</w:t>
        </w:r>
      </w:hyperlink>
      <w:r w:rsidR="00A364DA" w:rsidRPr="00A364D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 nel 1696 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che regola</w:t>
      </w:r>
      <w:r w:rsidR="00052EB0"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>va</w:t>
      </w:r>
      <w:r w:rsidR="00A364DA"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>no</w:t>
      </w:r>
      <w:r w:rsidR="00052EB0" w:rsidRP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la vita degli Arcadi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:</w:t>
      </w:r>
    </w:p>
    <w:p w:rsidR="00A73B13" w:rsidRPr="00A73B13" w:rsidRDefault="00A73B13" w:rsidP="00F07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I poeti assumono l’identità di “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pastori arcadi”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 e come tali scelgono uno pseudonimo con cui firmeranno i loro componimenti e che si rifà ai miti della classicità</w:t>
      </w:r>
      <w:r w:rsid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:rsidR="00A73B13" w:rsidRPr="00A73B13" w:rsidRDefault="00A73B13" w:rsidP="00F07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Gli arcadi si riuniscono in una località, detta 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“Bosco </w:t>
      </w:r>
      <w:proofErr w:type="spellStart"/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Parrasio</w:t>
      </w:r>
      <w:proofErr w:type="spellEnd"/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”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, per recitare i loro versi.</w:t>
      </w:r>
      <w:r w:rsidR="00F075AC" w:rsidRPr="00F075AC">
        <w:rPr>
          <w:rFonts w:ascii="Calibri" w:hAnsi="Calibri" w:cs="Calibri"/>
          <w:color w:val="333333"/>
          <w:sz w:val="17"/>
          <w:szCs w:val="17"/>
          <w:shd w:val="clear" w:color="auto" w:fill="FFFFFF"/>
        </w:rPr>
        <w:t xml:space="preserve"> </w:t>
      </w:r>
      <w:r w:rsidR="00F075AC" w:rsidRPr="00F075AC">
        <w:rPr>
          <w:rFonts w:ascii="Times New Roman" w:hAnsi="Times New Roman" w:cs="Times New Roman"/>
          <w:sz w:val="18"/>
          <w:szCs w:val="18"/>
          <w:shd w:val="clear" w:color="auto" w:fill="FFFFFF"/>
        </w:rPr>
        <w:t>Dal 1726, la sede fissa del “Bosco” sarà il </w:t>
      </w:r>
      <w:r w:rsidR="00F075AC" w:rsidRPr="00F075AC">
        <w:rPr>
          <w:rStyle w:val="Enfasigrassetto"/>
          <w:rFonts w:ascii="Times New Roman" w:hAnsi="Times New Roman" w:cs="Times New Roman"/>
          <w:b w:val="0"/>
          <w:bCs w:val="0"/>
          <w:sz w:val="18"/>
          <w:szCs w:val="18"/>
          <w:shd w:val="clear" w:color="auto" w:fill="FFFFFF"/>
        </w:rPr>
        <w:t xml:space="preserve">colle </w:t>
      </w:r>
      <w:proofErr w:type="spellStart"/>
      <w:r w:rsidR="00F075AC" w:rsidRPr="00F075AC">
        <w:rPr>
          <w:rStyle w:val="Enfasigrassetto"/>
          <w:rFonts w:ascii="Times New Roman" w:hAnsi="Times New Roman" w:cs="Times New Roman"/>
          <w:b w:val="0"/>
          <w:bCs w:val="0"/>
          <w:sz w:val="18"/>
          <w:szCs w:val="18"/>
          <w:shd w:val="clear" w:color="auto" w:fill="FFFFFF"/>
        </w:rPr>
        <w:t>Gianicolo</w:t>
      </w:r>
      <w:proofErr w:type="spellEnd"/>
      <w:r w:rsidR="00F075AC" w:rsidRPr="00F075AC">
        <w:rPr>
          <w:rFonts w:ascii="Times New Roman" w:hAnsi="Times New Roman" w:cs="Times New Roman"/>
          <w:sz w:val="18"/>
          <w:szCs w:val="18"/>
          <w:shd w:val="clear" w:color="auto" w:fill="FFFFFF"/>
        </w:rPr>
        <w:t> a Roma.</w:t>
      </w:r>
    </w:p>
    <w:p w:rsidR="00A73B13" w:rsidRPr="00A73B13" w:rsidRDefault="00A73B13" w:rsidP="00F07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L’accademia è fornita di un archivio di tutte le composizioni degli arcadi, detta “Serbatoio”.</w:t>
      </w:r>
    </w:p>
    <w:p w:rsidR="00A73B13" w:rsidRPr="00A73B13" w:rsidRDefault="00A73B13" w:rsidP="00F07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Le figure protettrici dell’Accademia sono Cristina di Svezia, detta “</w:t>
      </w:r>
      <w:proofErr w:type="spellStart"/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Basilissa</w:t>
      </w:r>
      <w:proofErr w:type="spellEnd"/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”</w:t>
      </w:r>
      <w:r w:rsid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e Gesù Bambino. L’Accademia riceverà poi la 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protezione pontificia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 da papa Innocenzo XII, salutato come “Pastore Massimo”.</w:t>
      </w:r>
    </w:p>
    <w:p w:rsidR="00052EB0" w:rsidRDefault="00A73B13" w:rsidP="00F07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La struttura gestionale dell’Arcadia è 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fortemente gerarchica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, secondo il modello della curia ecclesiastica; l’Accademia promuove così la nascita di una 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“Repubblica delle Lettere”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 su scala nazionale che dia unità al ceto intellettuale attraverso la creazione di 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“colonie di Arcadia”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 strettamente dipendenti dal centro propulsore di Roma e dalla volontà del suo “Custode generale”.</w:t>
      </w:r>
    </w:p>
    <w:p w:rsidR="00A364DA" w:rsidRDefault="00F075AC" w:rsidP="00052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548493" cy="1698171"/>
            <wp:effectExtent l="19050" t="0" r="0" b="0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4459" b="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85" cy="169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5AC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Bosco </w:t>
      </w:r>
      <w:proofErr w:type="spellStart"/>
      <w:r w:rsidRPr="00F075AC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Parrasio</w:t>
      </w:r>
      <w:proofErr w:type="spellEnd"/>
      <w:r w:rsidR="00A364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</w:t>
      </w:r>
    </w:p>
    <w:p w:rsidR="00A73B13" w:rsidRDefault="00A73B13" w:rsidP="00052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lastRenderedPageBreak/>
        <w:t>Ben presto tuttavia l’omogeneità del mondo arcade si incrina per </w:t>
      </w:r>
      <w:r w:rsidRP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>l’opposizione tra due diverse linee di poetica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l’una riconducibile a Gian Vincenzo Gravina, l’altra a Giovanni </w:t>
      </w:r>
      <w:proofErr w:type="spellStart"/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Crescimbeni</w:t>
      </w:r>
      <w:proofErr w:type="spellEnd"/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. Il primo si fa promotore di </w:t>
      </w:r>
      <w:r w:rsidRP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>un’idea di poesia come fonte di radicale rinnovamento culturale ed esistenziale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, in quanto portatrice di verità profonde. Questa funzione della poesia, che per Gravina deve avere una ricaduta pratica anche sulla vita quotidiana e non esaurirsi negli sterili giochi formal</w:t>
      </w:r>
      <w:r w:rsid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 dei “pastori”, ha come </w:t>
      </w:r>
      <w:proofErr w:type="spellStart"/>
      <w:r w:rsid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>proprii</w:t>
      </w:r>
      <w:proofErr w:type="spellEnd"/>
      <w:r w:rsid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modelli di riferimento </w:t>
      </w:r>
      <w:hyperlink r:id="rId11" w:history="1">
        <w:r w:rsidRPr="00052EB0">
          <w:rPr>
            <w:rFonts w:ascii="Times New Roman" w:eastAsia="Times New Roman" w:hAnsi="Times New Roman" w:cs="Times New Roman"/>
            <w:sz w:val="18"/>
            <w:szCs w:val="18"/>
            <w:lang w:eastAsia="it-IT"/>
          </w:rPr>
          <w:t>Omero</w:t>
        </w:r>
      </w:hyperlink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 e i classi greci.</w:t>
      </w:r>
      <w:r w:rsid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 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All’opposto, le posizioni di</w:t>
      </w:r>
      <w:r w:rsid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>Crescimbeni</w:t>
      </w:r>
      <w:proofErr w:type="spellEnd"/>
      <w:r w:rsid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sono più moderate 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ed impostate ad </w:t>
      </w:r>
      <w:r w:rsidRP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>un classicismo più di forma</w:t>
      </w:r>
      <w:r w:rsid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>le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: </w:t>
      </w:r>
      <w:proofErr w:type="spellStart"/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Crescimbeni</w:t>
      </w:r>
      <w:proofErr w:type="spellEnd"/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predica la</w:t>
      </w:r>
      <w:r w:rsid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moderazione degli eccessi del B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arocco con l’eleganza della forma, ch</w:t>
      </w:r>
      <w:r w:rsid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>e ha precedenza sul contenuto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secondo la lezione del petrarchismo. </w:t>
      </w:r>
      <w:r w:rsid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Il conf</w:t>
      </w:r>
      <w:r w:rsidR="00052EB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ronto tra i due 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porta addirittura alla scissione dell’Accademia, che nel 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1711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 vede l’abbandono di Gravina e la nascita dell’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Accademia dei </w:t>
      </w:r>
      <w:proofErr w:type="spellStart"/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Quirini</w:t>
      </w:r>
      <w:proofErr w:type="spellEnd"/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. Nel </w:t>
      </w:r>
      <w:r w:rsidRPr="00961729">
        <w:rPr>
          <w:rFonts w:ascii="Times New Roman" w:eastAsia="Times New Roman" w:hAnsi="Times New Roman" w:cs="Times New Roman"/>
          <w:sz w:val="18"/>
          <w:szCs w:val="18"/>
          <w:lang w:eastAsia="it-IT"/>
        </w:rPr>
        <w:t>1718</w:t>
      </w:r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alla morte di Gravina, i </w:t>
      </w:r>
      <w:proofErr w:type="spellStart"/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Quirini</w:t>
      </w:r>
      <w:proofErr w:type="spellEnd"/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>riconfluiranno</w:t>
      </w:r>
      <w:proofErr w:type="spellEnd"/>
      <w:r w:rsidRPr="00A73B1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comunque all’interno dell’Accademia di Arcadia.</w:t>
      </w:r>
    </w:p>
    <w:p w:rsidR="00F075AC" w:rsidRPr="00961729" w:rsidRDefault="00F075AC" w:rsidP="00052E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37507" y="2523506"/>
            <wp:positionH relativeFrom="margin">
              <wp:align>right</wp:align>
            </wp:positionH>
            <wp:positionV relativeFrom="margin">
              <wp:align>top</wp:align>
            </wp:positionV>
            <wp:extent cx="954727" cy="1632858"/>
            <wp:effectExtent l="19050" t="0" r="0" b="0"/>
            <wp:wrapSquare wrapText="bothSides"/>
            <wp:docPr id="7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163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52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                         </w:t>
      </w:r>
      <w:r w:rsidRPr="00F075A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3B1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Giovanni </w:t>
      </w:r>
      <w:proofErr w:type="spellStart"/>
      <w:r w:rsidRPr="00A73B13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Crescimbeni</w:t>
      </w:r>
      <w:proofErr w:type="spellEnd"/>
    </w:p>
    <w:p w:rsidR="00A73B13" w:rsidRPr="00A73B13" w:rsidRDefault="00A73B13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</w:pPr>
    </w:p>
    <w:p w:rsidR="00A73B13" w:rsidRDefault="003938B2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</w:pPr>
      <w:hyperlink r:id="rId13" w:history="1">
        <w:r w:rsidR="00A73B13" w:rsidRPr="00961729">
          <w:rPr>
            <w:rStyle w:val="Collegamentoipertestuale"/>
            <w:rFonts w:ascii="Times New Roman" w:eastAsia="Times New Roman" w:hAnsi="Times New Roman" w:cs="Times New Roman"/>
            <w:color w:val="auto"/>
            <w:sz w:val="18"/>
            <w:szCs w:val="18"/>
            <w:lang w:eastAsia="it-IT"/>
          </w:rPr>
          <w:t>http://www.oilproject.org/lezione/accademia-arcadia-riassunto-caratteristiche-poesia-pastorale-12066.html</w:t>
        </w:r>
      </w:hyperlink>
    </w:p>
    <w:p w:rsidR="00961729" w:rsidRPr="00961729" w:rsidRDefault="00961729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</w:pPr>
    </w:p>
    <w:p w:rsidR="00961729" w:rsidRPr="00961729" w:rsidRDefault="00961729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A73B13" w:rsidRPr="00961729" w:rsidRDefault="00A73B13" w:rsidP="00A7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C771B" w:rsidRPr="00961729" w:rsidRDefault="008C771B">
      <w:pPr>
        <w:rPr>
          <w:rFonts w:ascii="Times New Roman" w:hAnsi="Times New Roman" w:cs="Times New Roman"/>
          <w:sz w:val="18"/>
          <w:szCs w:val="18"/>
        </w:rPr>
      </w:pPr>
    </w:p>
    <w:sectPr w:rsidR="008C771B" w:rsidRPr="00961729" w:rsidSect="008C77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6FE1"/>
      </v:shape>
    </w:pict>
  </w:numPicBullet>
  <w:abstractNum w:abstractNumId="0">
    <w:nsid w:val="05E55325"/>
    <w:multiLevelType w:val="multilevel"/>
    <w:tmpl w:val="A68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A146B2"/>
    <w:multiLevelType w:val="multilevel"/>
    <w:tmpl w:val="B01EF6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A73B13"/>
    <w:rsid w:val="00052EB0"/>
    <w:rsid w:val="000A4520"/>
    <w:rsid w:val="003938B2"/>
    <w:rsid w:val="008C771B"/>
    <w:rsid w:val="00961729"/>
    <w:rsid w:val="00A364DA"/>
    <w:rsid w:val="00A73B13"/>
    <w:rsid w:val="00F0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7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3B1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73B1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73B1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ilproject.org/lezione/accademia-arcadia-riassunto-caratteristiche-poesia-pastorale-1206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ilproject.org/lezione/commento-struttura-canzoniere-francesco-petrarca-1912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lproject.org/lezione/filosofia-moderna-cartesio-riassunto-discorso-metodo-meditazioni-metafisiche-8909.html" TargetMode="External"/><Relationship Id="rId11" Type="http://schemas.openxmlformats.org/officeDocument/2006/relationships/hyperlink" Target="http://www.oilproject.org/lezione/odissea-omero-ulisse-odisseo-riassunto-cavallo-di-troia-polifemo-dante-joyce-9429.html" TargetMode="External"/><Relationship Id="rId5" Type="http://schemas.openxmlformats.org/officeDocument/2006/relationships/hyperlink" Target="http://www.oilproject.org/lezione/galileo-vita-opere-saggiatore-dialogo-sidereus-nuncius-copernico-eliocentrismo-9338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reccani.it/enciclopedia/gian-vincenzo-gravina_(Dizionario-Biografico)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2018-04-06T15:32:00Z</dcterms:created>
  <dcterms:modified xsi:type="dcterms:W3CDTF">2018-04-07T08:16:00Z</dcterms:modified>
</cp:coreProperties>
</file>