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35" w:rsidRPr="00A74135" w:rsidRDefault="00A74135" w:rsidP="00A74135">
      <w:pPr>
        <w:rPr>
          <w:b/>
          <w:color w:val="0070C0"/>
          <w:sz w:val="36"/>
          <w:szCs w:val="36"/>
        </w:rPr>
      </w:pPr>
      <w:r w:rsidRPr="00A74135">
        <w:rPr>
          <w:b/>
          <w:color w:val="0070C0"/>
          <w:sz w:val="36"/>
          <w:szCs w:val="36"/>
        </w:rPr>
        <w:t xml:space="preserve">Contraindications </w:t>
      </w:r>
      <w:r w:rsidR="00D92949" w:rsidRPr="00A74135">
        <w:rPr>
          <w:b/>
          <w:color w:val="0070C0"/>
          <w:sz w:val="36"/>
          <w:szCs w:val="36"/>
        </w:rPr>
        <w:t xml:space="preserve">for </w:t>
      </w:r>
      <w:proofErr w:type="spellStart"/>
      <w:r w:rsidR="00D92949" w:rsidRPr="00A74135">
        <w:rPr>
          <w:b/>
          <w:color w:val="0070C0"/>
          <w:sz w:val="36"/>
          <w:szCs w:val="36"/>
        </w:rPr>
        <w:t>Detomidine</w:t>
      </w:r>
      <w:proofErr w:type="spellEnd"/>
      <w:r>
        <w:rPr>
          <w:b/>
          <w:color w:val="0070C0"/>
          <w:sz w:val="36"/>
          <w:szCs w:val="36"/>
        </w:rPr>
        <w:t>:</w:t>
      </w:r>
      <w:bookmarkStart w:id="0" w:name="_GoBack"/>
      <w:bookmarkEnd w:id="0"/>
    </w:p>
    <w:p w:rsidR="00A74135" w:rsidRPr="00A74135" w:rsidRDefault="00A74135" w:rsidP="00A74135"/>
    <w:p w:rsidR="00A74135" w:rsidRPr="00A74135" w:rsidRDefault="00D92949" w:rsidP="00A74135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74135">
        <w:rPr>
          <w:sz w:val="24"/>
          <w:szCs w:val="24"/>
        </w:rPr>
        <w:t>Detomidine</w:t>
      </w:r>
      <w:proofErr w:type="spellEnd"/>
      <w:r w:rsidRPr="00A74135">
        <w:rPr>
          <w:sz w:val="24"/>
          <w:szCs w:val="24"/>
        </w:rPr>
        <w:t xml:space="preserve"> is contraindicated in horses with pre</w:t>
      </w:r>
      <w:r w:rsidRPr="00A74135">
        <w:rPr>
          <w:sz w:val="24"/>
          <w:szCs w:val="24"/>
        </w:rPr>
        <w:t>-</w:t>
      </w:r>
      <w:r w:rsidRPr="00A74135">
        <w:rPr>
          <w:sz w:val="24"/>
          <w:szCs w:val="24"/>
        </w:rPr>
        <w:t>existing AV or SA heart block, severe coronary insufficiency, cerebrovascular disease, respiratory disease or chronic</w:t>
      </w:r>
      <w:r w:rsidRPr="00A74135">
        <w:rPr>
          <w:sz w:val="24"/>
          <w:szCs w:val="24"/>
        </w:rPr>
        <w:t xml:space="preserve"> </w:t>
      </w:r>
      <w:r w:rsidRPr="00A74135">
        <w:rPr>
          <w:sz w:val="24"/>
          <w:szCs w:val="24"/>
        </w:rPr>
        <w:t xml:space="preserve">renal failure. </w:t>
      </w:r>
    </w:p>
    <w:p w:rsidR="00A74135" w:rsidRPr="00A74135" w:rsidRDefault="00D92949" w:rsidP="00A74135">
      <w:pPr>
        <w:numPr>
          <w:ilvl w:val="0"/>
          <w:numId w:val="1"/>
        </w:numPr>
        <w:rPr>
          <w:sz w:val="24"/>
          <w:szCs w:val="24"/>
        </w:rPr>
      </w:pPr>
      <w:r w:rsidRPr="00A74135">
        <w:rPr>
          <w:sz w:val="24"/>
          <w:szCs w:val="24"/>
        </w:rPr>
        <w:t>Use cautiously in animals with endoto</w:t>
      </w:r>
      <w:r w:rsidRPr="00A74135">
        <w:rPr>
          <w:sz w:val="24"/>
          <w:szCs w:val="24"/>
        </w:rPr>
        <w:t>xic or traumatic shock or approaching shock, and advanced hepatic or renal disease.</w:t>
      </w:r>
    </w:p>
    <w:p w:rsidR="00A74135" w:rsidRPr="00A74135" w:rsidRDefault="00D92949" w:rsidP="00A74135">
      <w:pPr>
        <w:numPr>
          <w:ilvl w:val="0"/>
          <w:numId w:val="1"/>
        </w:numPr>
        <w:rPr>
          <w:sz w:val="24"/>
          <w:szCs w:val="24"/>
        </w:rPr>
      </w:pPr>
      <w:r w:rsidRPr="00A74135">
        <w:rPr>
          <w:sz w:val="24"/>
          <w:szCs w:val="24"/>
        </w:rPr>
        <w:t xml:space="preserve"> Horses who are stressed due to</w:t>
      </w:r>
      <w:r w:rsidRPr="00A74135">
        <w:rPr>
          <w:sz w:val="24"/>
          <w:szCs w:val="24"/>
        </w:rPr>
        <w:t xml:space="preserve"> </w:t>
      </w:r>
      <w:r w:rsidRPr="00A74135">
        <w:rPr>
          <w:sz w:val="24"/>
          <w:szCs w:val="24"/>
        </w:rPr>
        <w:t xml:space="preserve">temperature extremes, fatigue, or high altitude should be given the drug carefully. </w:t>
      </w:r>
    </w:p>
    <w:p w:rsidR="00A74135" w:rsidRPr="00A74135" w:rsidRDefault="00D92949" w:rsidP="00A74135">
      <w:pPr>
        <w:numPr>
          <w:ilvl w:val="0"/>
          <w:numId w:val="1"/>
        </w:numPr>
        <w:rPr>
          <w:sz w:val="24"/>
          <w:szCs w:val="24"/>
        </w:rPr>
      </w:pPr>
      <w:r w:rsidRPr="00A74135">
        <w:rPr>
          <w:sz w:val="24"/>
          <w:szCs w:val="24"/>
        </w:rPr>
        <w:t xml:space="preserve">Because this drug may inhibit gastrointestinal motility, </w:t>
      </w:r>
      <w:r w:rsidRPr="00A74135">
        <w:rPr>
          <w:sz w:val="24"/>
          <w:szCs w:val="24"/>
        </w:rPr>
        <w:t xml:space="preserve">use with prudence in </w:t>
      </w:r>
      <w:r w:rsidRPr="00A74135">
        <w:rPr>
          <w:sz w:val="24"/>
          <w:szCs w:val="24"/>
        </w:rPr>
        <w:t>patients</w:t>
      </w:r>
      <w:r w:rsidRPr="00A74135">
        <w:rPr>
          <w:sz w:val="24"/>
          <w:szCs w:val="24"/>
        </w:rPr>
        <w:t xml:space="preserve"> treated</w:t>
      </w:r>
      <w:r w:rsidRPr="00A74135">
        <w:rPr>
          <w:sz w:val="24"/>
          <w:szCs w:val="24"/>
        </w:rPr>
        <w:t xml:space="preserve"> for intestinal impactions. </w:t>
      </w:r>
    </w:p>
    <w:p w:rsidR="00C7748E" w:rsidRPr="00A74135" w:rsidRDefault="00D92949" w:rsidP="00A74135">
      <w:pPr>
        <w:numPr>
          <w:ilvl w:val="0"/>
          <w:numId w:val="1"/>
        </w:numPr>
        <w:rPr>
          <w:sz w:val="24"/>
          <w:szCs w:val="24"/>
        </w:rPr>
      </w:pPr>
      <w:r w:rsidRPr="00A74135">
        <w:rPr>
          <w:sz w:val="24"/>
          <w:szCs w:val="24"/>
        </w:rPr>
        <w:t xml:space="preserve">In horses with suspected colic, the use of </w:t>
      </w:r>
      <w:proofErr w:type="spellStart"/>
      <w:r w:rsidRPr="00A74135">
        <w:rPr>
          <w:sz w:val="24"/>
          <w:szCs w:val="24"/>
        </w:rPr>
        <w:t>detomidine</w:t>
      </w:r>
      <w:proofErr w:type="spellEnd"/>
      <w:r w:rsidRPr="00A74135">
        <w:rPr>
          <w:sz w:val="24"/>
          <w:szCs w:val="24"/>
        </w:rPr>
        <w:t xml:space="preserve"> analgesia should be used cautiously as it may mask abdominal pain and conceal</w:t>
      </w:r>
      <w:r w:rsidRPr="00A74135">
        <w:rPr>
          <w:sz w:val="24"/>
          <w:szCs w:val="24"/>
        </w:rPr>
        <w:t xml:space="preserve"> </w:t>
      </w:r>
      <w:r w:rsidRPr="00A74135">
        <w:rPr>
          <w:sz w:val="24"/>
          <w:szCs w:val="24"/>
        </w:rPr>
        <w:t>changes in respiratory and cardiac rates, thereby making di</w:t>
      </w:r>
      <w:r w:rsidRPr="00A74135">
        <w:rPr>
          <w:sz w:val="24"/>
          <w:szCs w:val="24"/>
        </w:rPr>
        <w:t>agnosis more difficult.</w:t>
      </w:r>
    </w:p>
    <w:p w:rsidR="00A74135" w:rsidRDefault="00A74135"/>
    <w:sectPr w:rsidR="00A74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37D6"/>
    <w:multiLevelType w:val="hybridMultilevel"/>
    <w:tmpl w:val="87925138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35"/>
    <w:rsid w:val="00A74135"/>
    <w:rsid w:val="00D9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EE92"/>
  <w15:chartTrackingRefBased/>
  <w15:docId w15:val="{CB98D8C6-1278-49C2-9099-7E7584D9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2</cp:revision>
  <dcterms:created xsi:type="dcterms:W3CDTF">2018-09-15T09:32:00Z</dcterms:created>
  <dcterms:modified xsi:type="dcterms:W3CDTF">2018-09-15T09:35:00Z</dcterms:modified>
</cp:coreProperties>
</file>