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1933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44"/>
        <w:gridCol w:w="1238"/>
        <w:gridCol w:w="3363"/>
        <w:gridCol w:w="1858"/>
        <w:gridCol w:w="1946"/>
        <w:gridCol w:w="2301"/>
        <w:gridCol w:w="3524"/>
        <w:gridCol w:w="2363"/>
      </w:tblGrid>
      <w:tr w:rsidR="00A26DEA" w:rsidRPr="006B0957" w:rsidTr="006B0957">
        <w:trPr>
          <w:trHeight w:val="790"/>
        </w:trPr>
        <w:tc>
          <w:tcPr>
            <w:tcW w:w="2744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Drug</w:t>
            </w:r>
          </w:p>
        </w:tc>
        <w:tc>
          <w:tcPr>
            <w:tcW w:w="1238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Species</w:t>
            </w:r>
          </w:p>
        </w:tc>
        <w:tc>
          <w:tcPr>
            <w:tcW w:w="3363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Indications</w:t>
            </w:r>
          </w:p>
        </w:tc>
        <w:tc>
          <w:tcPr>
            <w:tcW w:w="1858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Therapeutic Dose</w:t>
            </w:r>
          </w:p>
        </w:tc>
        <w:tc>
          <w:tcPr>
            <w:tcW w:w="1946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Lethal Dose/ Toxicity</w:t>
            </w:r>
          </w:p>
        </w:tc>
        <w:tc>
          <w:tcPr>
            <w:tcW w:w="2301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Contraindications</w:t>
            </w:r>
          </w:p>
        </w:tc>
        <w:tc>
          <w:tcPr>
            <w:tcW w:w="3524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Pharmacology</w:t>
            </w:r>
          </w:p>
        </w:tc>
        <w:tc>
          <w:tcPr>
            <w:tcW w:w="2363" w:type="dxa"/>
          </w:tcPr>
          <w:p w:rsidR="00642D7C" w:rsidRPr="00642D7C" w:rsidRDefault="00642D7C" w:rsidP="00642D7C">
            <w:pPr>
              <w:rPr>
                <w:rFonts w:eastAsia="Calibri" w:cs="Times New Roman"/>
                <w:b/>
                <w:sz w:val="22"/>
                <w:szCs w:val="22"/>
                <w:lang w:val="en-TT"/>
              </w:rPr>
            </w:pPr>
            <w:r w:rsidRPr="00642D7C">
              <w:rPr>
                <w:rFonts w:eastAsia="Calibri" w:cs="Times New Roman"/>
                <w:b/>
                <w:sz w:val="22"/>
                <w:szCs w:val="22"/>
                <w:lang w:val="en-TT"/>
              </w:rPr>
              <w:t>Adverse Effects</w:t>
            </w:r>
          </w:p>
        </w:tc>
      </w:tr>
      <w:tr w:rsidR="006B0957" w:rsidRPr="006B0957" w:rsidTr="006B0957">
        <w:trPr>
          <w:trHeight w:val="8794"/>
        </w:trPr>
        <w:tc>
          <w:tcPr>
            <w:tcW w:w="2744" w:type="dxa"/>
          </w:tcPr>
          <w:p w:rsidR="006B0957" w:rsidRPr="006B0957" w:rsidRDefault="006B0957" w:rsidP="006B0957">
            <w:pPr>
              <w:ind w:left="-108"/>
              <w:rPr>
                <w:sz w:val="22"/>
                <w:szCs w:val="22"/>
              </w:rPr>
            </w:pPr>
            <w:r w:rsidRPr="006B0957">
              <w:rPr>
                <w:sz w:val="22"/>
                <w:szCs w:val="22"/>
              </w:rPr>
              <w:t xml:space="preserve">Lidocaine 2% </w:t>
            </w:r>
          </w:p>
          <w:p w:rsidR="006B0957" w:rsidRPr="006B0957" w:rsidRDefault="006B0957" w:rsidP="006B0957">
            <w:pPr>
              <w:ind w:left="-108"/>
              <w:rPr>
                <w:sz w:val="22"/>
                <w:szCs w:val="22"/>
              </w:rPr>
            </w:pPr>
            <w:r w:rsidRPr="006B0957">
              <w:rPr>
                <w:noProof/>
                <w:sz w:val="22"/>
                <w:szCs w:val="22"/>
              </w:rPr>
              <w:drawing>
                <wp:inline distT="0" distB="0" distL="0" distR="0" wp14:anchorId="19986912" wp14:editId="0703A338">
                  <wp:extent cx="1663927" cy="1923803"/>
                  <wp:effectExtent l="19050" t="0" r="0" b="0"/>
                  <wp:docPr id="5" name="Picture 3" descr="E:\Dr. Diptee Introduction and Lab 1\las\Drugs\IMG_20180904_14570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r. Diptee Introduction and Lab 1\las\Drugs\IMG_20180904_14570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9283" r="26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90" cy="1925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</w:tcPr>
          <w:p w:rsidR="006B0957" w:rsidRPr="006B0957" w:rsidRDefault="006B0957" w:rsidP="006B0957">
            <w:pPr>
              <w:rPr>
                <w:sz w:val="22"/>
                <w:szCs w:val="22"/>
              </w:rPr>
            </w:pPr>
            <w:r w:rsidRPr="006B0957">
              <w:rPr>
                <w:sz w:val="22"/>
                <w:szCs w:val="22"/>
              </w:rPr>
              <w:t>Cattle, Horse, Swine</w:t>
            </w:r>
          </w:p>
        </w:tc>
        <w:tc>
          <w:tcPr>
            <w:tcW w:w="3363" w:type="dxa"/>
          </w:tcPr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 xml:space="preserve">Most commonly used local anesthetics in large animals. It is also the drug of choice for the management of ventricular premature contractions or tachycardia. </w:t>
            </w:r>
          </w:p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Horses: postoperative ileus</w:t>
            </w:r>
          </w:p>
        </w:tc>
        <w:tc>
          <w:tcPr>
            <w:tcW w:w="1858" w:type="dxa"/>
          </w:tcPr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For injection containing 20mg/mL. To prepare IV infusion using 2% veterinary solution, add 1g (50mL) of 2% solution to 1 D</w:t>
            </w:r>
            <w:r w:rsidRPr="006B0957">
              <w:rPr>
                <w:rFonts w:cs="Times-Roman"/>
                <w:sz w:val="22"/>
                <w:szCs w:val="22"/>
                <w:vertAlign w:val="subscript"/>
              </w:rPr>
              <w:t>5</w:t>
            </w:r>
            <w:r w:rsidRPr="006B0957">
              <w:rPr>
                <w:rFonts w:cs="Times-Roman"/>
                <w:sz w:val="22"/>
                <w:szCs w:val="22"/>
              </w:rPr>
              <w:t xml:space="preserve">W, thus providing 1mg/mL (1,000mg/mL). With a minidrop (60 drops/mL) IV set, each drop will contain approximately 17mg. </w:t>
            </w:r>
          </w:p>
        </w:tc>
        <w:tc>
          <w:tcPr>
            <w:tcW w:w="1946" w:type="dxa"/>
          </w:tcPr>
          <w:p w:rsidR="006B0957" w:rsidRPr="006B0957" w:rsidRDefault="006B0957" w:rsidP="006B0957">
            <w:pPr>
              <w:rPr>
                <w:sz w:val="22"/>
                <w:szCs w:val="22"/>
              </w:rPr>
            </w:pPr>
            <w:r w:rsidRPr="006B0957">
              <w:rPr>
                <w:sz w:val="22"/>
                <w:szCs w:val="22"/>
              </w:rPr>
              <w:t>8 mg/kg</w:t>
            </w:r>
          </w:p>
          <w:p w:rsidR="006B0957" w:rsidRPr="006B0957" w:rsidRDefault="006B0957" w:rsidP="006B0957">
            <w:pPr>
              <w:rPr>
                <w:rFonts w:cs="Times-Roman"/>
                <w:sz w:val="22"/>
                <w:szCs w:val="22"/>
              </w:rPr>
            </w:pPr>
            <w:r w:rsidRPr="006B0957">
              <w:rPr>
                <w:sz w:val="22"/>
                <w:szCs w:val="22"/>
              </w:rPr>
              <w:t>Signs of overdose are initial sedation, followed with increasing dosage by twitching, convulsions, coma and death</w:t>
            </w:r>
          </w:p>
        </w:tc>
        <w:tc>
          <w:tcPr>
            <w:tcW w:w="2301" w:type="dxa"/>
          </w:tcPr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Lidocaine is contraindicated in patients with known hypersensitivity to the</w:t>
            </w:r>
            <w:r>
              <w:rPr>
                <w:rFonts w:cs="Times-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6B0957">
              <w:rPr>
                <w:rFonts w:cs="Times-Roman"/>
                <w:sz w:val="22"/>
                <w:szCs w:val="22"/>
              </w:rPr>
              <w:t xml:space="preserve">amide-class local anesthetics, a severe degree of SA, AV or intraventricular heart block (if not being artificially paced). </w:t>
            </w:r>
          </w:p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Lidocaine should be used with caution in patients with liver disease, congestive heart failure,</w:t>
            </w:r>
          </w:p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shock, hypovolemia, severe respiratory depression, or marked hypoxia. It should be also be used with caution in patients with bradycardia or incomplete heart block having VPC’s, unless the</w:t>
            </w:r>
          </w:p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heart rate is first accelerated. Patients susceptible to developing malignant hyperthermia should receive lidocaine with intensified monitoring.</w:t>
            </w:r>
          </w:p>
        </w:tc>
        <w:tc>
          <w:tcPr>
            <w:tcW w:w="3524" w:type="dxa"/>
          </w:tcPr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Lidocaine is considered to be a class IB (membrane-stabilizing)</w:t>
            </w:r>
          </w:p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antidysrhythmic agent. It is thought that lidocaine acts by combining with fast sodium channels</w:t>
            </w:r>
            <w:r>
              <w:rPr>
                <w:rFonts w:cs="Times-Roman"/>
                <w:sz w:val="22"/>
                <w:szCs w:val="22"/>
              </w:rPr>
              <w:t xml:space="preserve"> </w:t>
            </w:r>
            <w:r w:rsidRPr="006B0957">
              <w:rPr>
                <w:rFonts w:cs="Times-Roman"/>
                <w:sz w:val="22"/>
                <w:szCs w:val="22"/>
              </w:rPr>
              <w:t>when inactive which inhibits recovery after repolarization. Class IB agents demonstrate rapid</w:t>
            </w:r>
            <w:r>
              <w:rPr>
                <w:rFonts w:cs="Times-Roman"/>
                <w:sz w:val="22"/>
                <w:szCs w:val="22"/>
              </w:rPr>
              <w:t xml:space="preserve"> </w:t>
            </w:r>
            <w:r w:rsidRPr="006B0957">
              <w:rPr>
                <w:rFonts w:cs="Times-Roman"/>
                <w:sz w:val="22"/>
                <w:szCs w:val="22"/>
              </w:rPr>
              <w:t>rates of attachment and dissociation to sodium channels. At therapeutic levels, lidocaine causes</w:t>
            </w:r>
            <w:r>
              <w:rPr>
                <w:rFonts w:cs="Times-Roman"/>
                <w:sz w:val="22"/>
                <w:szCs w:val="22"/>
              </w:rPr>
              <w:t xml:space="preserve"> </w:t>
            </w:r>
            <w:r w:rsidRPr="006B0957">
              <w:rPr>
                <w:rFonts w:cs="Times-Roman"/>
                <w:sz w:val="22"/>
                <w:szCs w:val="22"/>
              </w:rPr>
              <w:t>phase 4 diastolic depolarization attenuation, decreased automaticity, and either a decrease or no</w:t>
            </w:r>
            <w:r>
              <w:rPr>
                <w:rFonts w:cs="Times-Roman"/>
                <w:sz w:val="22"/>
                <w:szCs w:val="22"/>
              </w:rPr>
              <w:t xml:space="preserve"> </w:t>
            </w:r>
            <w:r w:rsidRPr="006B0957">
              <w:rPr>
                <w:rFonts w:cs="Times-Roman"/>
                <w:sz w:val="22"/>
                <w:szCs w:val="22"/>
              </w:rPr>
              <w:t>change in membrane responsiveness and excitability. These effects will occur at serum levels</w:t>
            </w:r>
            <w:r>
              <w:rPr>
                <w:rFonts w:cs="Times-Roman"/>
                <w:sz w:val="22"/>
                <w:szCs w:val="22"/>
              </w:rPr>
              <w:t xml:space="preserve"> </w:t>
            </w:r>
            <w:r w:rsidRPr="006B0957">
              <w:rPr>
                <w:rFonts w:cs="Times-Roman"/>
                <w:sz w:val="22"/>
                <w:szCs w:val="22"/>
              </w:rPr>
              <w:t>that will not inhibit the automaticity of the SA node, and will have little effect on AV node</w:t>
            </w:r>
          </w:p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conduction or His-Purkinje conduction.</w:t>
            </w:r>
          </w:p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Lidocaine apparently has some enhancing effects on intestinal motility in patients with</w:t>
            </w:r>
          </w:p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postoperative ileus. The mechanism for this effect is not well understood, but probably involves</w:t>
            </w:r>
          </w:p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more than just blocking increased sympathetic tone.</w:t>
            </w:r>
          </w:p>
        </w:tc>
        <w:tc>
          <w:tcPr>
            <w:tcW w:w="2363" w:type="dxa"/>
          </w:tcPr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At usual doses and if the serum level remains within the proposed therapeutic range (1 - 5 micrograms/ml), serious adverse reactions are quite rare. The most common adverse effects reported are dose related (serum level) and mild. CNS signs include</w:t>
            </w:r>
          </w:p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drowsiness, depression, ataxia, muscle tremors, etc. Nausea and vomiting may occur, but are</w:t>
            </w:r>
          </w:p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usually transient. Adverse cardiac effects generally only occur at high plasma concentrations and are usually associated with PR and QRS interval prolongation and QT interval shortening.</w:t>
            </w:r>
          </w:p>
          <w:p w:rsidR="006B0957" w:rsidRPr="006B0957" w:rsidRDefault="006B0957" w:rsidP="006B0957">
            <w:pPr>
              <w:autoSpaceDE w:val="0"/>
              <w:autoSpaceDN w:val="0"/>
              <w:adjustRightInd w:val="0"/>
              <w:rPr>
                <w:rFonts w:cs="Times-Roman"/>
                <w:sz w:val="22"/>
                <w:szCs w:val="22"/>
              </w:rPr>
            </w:pPr>
            <w:r w:rsidRPr="006B0957">
              <w:rPr>
                <w:rFonts w:cs="Times-Roman"/>
                <w:sz w:val="22"/>
                <w:szCs w:val="22"/>
              </w:rPr>
              <w:t>Lidocaine may increase ventricular rates if used in patients with atrial fibrillation. If an IV bolus is given too rapidly, hypotension may occur.</w:t>
            </w:r>
          </w:p>
        </w:tc>
      </w:tr>
    </w:tbl>
    <w:p w:rsidR="000B719E" w:rsidRPr="006B0957" w:rsidRDefault="000B719E" w:rsidP="00A26DEA">
      <w:pPr>
        <w:rPr>
          <w:rFonts w:ascii="Cambria" w:hAnsi="Cambria"/>
        </w:rPr>
      </w:pPr>
    </w:p>
    <w:sectPr w:rsidR="000B719E" w:rsidRPr="006B0957" w:rsidSect="00A26DEA">
      <w:pgSz w:w="20160" w:h="12240" w:orient="landscape" w:code="5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9D2" w:rsidRDefault="008D29D2" w:rsidP="00A26DEA">
      <w:pPr>
        <w:spacing w:before="0" w:line="240" w:lineRule="auto"/>
      </w:pPr>
      <w:r>
        <w:separator/>
      </w:r>
    </w:p>
  </w:endnote>
  <w:endnote w:type="continuationSeparator" w:id="0">
    <w:p w:rsidR="008D29D2" w:rsidRDefault="008D29D2" w:rsidP="00A26DE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9D2" w:rsidRDefault="008D29D2" w:rsidP="00A26DEA">
      <w:pPr>
        <w:spacing w:before="0" w:line="240" w:lineRule="auto"/>
      </w:pPr>
      <w:r>
        <w:separator/>
      </w:r>
    </w:p>
  </w:footnote>
  <w:footnote w:type="continuationSeparator" w:id="0">
    <w:p w:rsidR="008D29D2" w:rsidRDefault="008D29D2" w:rsidP="00A26DE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2A1D"/>
    <w:multiLevelType w:val="hybridMultilevel"/>
    <w:tmpl w:val="AC469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B1C38"/>
    <w:multiLevelType w:val="hybridMultilevel"/>
    <w:tmpl w:val="8B803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1415E"/>
    <w:multiLevelType w:val="hybridMultilevel"/>
    <w:tmpl w:val="10481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D7"/>
    <w:rsid w:val="000536D2"/>
    <w:rsid w:val="000B719E"/>
    <w:rsid w:val="00642D7C"/>
    <w:rsid w:val="006B0957"/>
    <w:rsid w:val="00726764"/>
    <w:rsid w:val="007F5BEF"/>
    <w:rsid w:val="008D29D2"/>
    <w:rsid w:val="00A26DEA"/>
    <w:rsid w:val="00A35ED7"/>
    <w:rsid w:val="00A86339"/>
    <w:rsid w:val="00E573C1"/>
    <w:rsid w:val="00F1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BCC9"/>
  <w15:chartTrackingRefBased/>
  <w15:docId w15:val="{652CA865-114C-40EE-A066-BC84345B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before="24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ED7"/>
    <w:pPr>
      <w:spacing w:before="0" w:line="240" w:lineRule="auto"/>
      <w:jc w:val="left"/>
    </w:pPr>
    <w:rPr>
      <w:rFonts w:ascii="Cambria" w:hAnsi="Cambr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BEF"/>
    <w:pPr>
      <w:spacing w:before="0" w:after="200" w:line="276" w:lineRule="auto"/>
      <w:ind w:left="720"/>
      <w:contextualSpacing/>
      <w:jc w:val="left"/>
    </w:pPr>
    <w:rPr>
      <w:rFonts w:ascii="Cambria" w:hAnsi="Cambr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42D7C"/>
    <w:pPr>
      <w:spacing w:before="0" w:line="240" w:lineRule="auto"/>
      <w:jc w:val="left"/>
    </w:pPr>
    <w:rPr>
      <w:rFonts w:ascii="Cambria" w:hAnsi="Cambr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DE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DEA"/>
  </w:style>
  <w:style w:type="paragraph" w:styleId="Footer">
    <w:name w:val="footer"/>
    <w:basedOn w:val="Normal"/>
    <w:link w:val="FooterChar"/>
    <w:uiPriority w:val="99"/>
    <w:unhideWhenUsed/>
    <w:rsid w:val="00A26DE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Maharaj</dc:creator>
  <cp:keywords/>
  <dc:description/>
  <cp:lastModifiedBy>Krystal Maharaj</cp:lastModifiedBy>
  <cp:revision>2</cp:revision>
  <dcterms:created xsi:type="dcterms:W3CDTF">2018-09-08T03:48:00Z</dcterms:created>
  <dcterms:modified xsi:type="dcterms:W3CDTF">2018-09-08T03:48:00Z</dcterms:modified>
</cp:coreProperties>
</file>