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9438" w:type="dxa"/>
        <w:tblInd w:w="-252" w:type="dxa"/>
        <w:tblLayout w:type="fixed"/>
        <w:tblLook w:val="04A0" w:firstRow="1" w:lastRow="0" w:firstColumn="1" w:lastColumn="0" w:noHBand="0" w:noVBand="1"/>
      </w:tblPr>
      <w:tblGrid>
        <w:gridCol w:w="2758"/>
        <w:gridCol w:w="1245"/>
        <w:gridCol w:w="3380"/>
        <w:gridCol w:w="1868"/>
        <w:gridCol w:w="1957"/>
        <w:gridCol w:w="2313"/>
        <w:gridCol w:w="4092"/>
        <w:gridCol w:w="1825"/>
      </w:tblGrid>
      <w:tr w:rsidR="00642D7C" w:rsidRPr="00642D7C" w:rsidTr="00642D7C">
        <w:trPr>
          <w:trHeight w:val="863"/>
        </w:trPr>
        <w:tc>
          <w:tcPr>
            <w:tcW w:w="2758" w:type="dxa"/>
          </w:tcPr>
          <w:p w:rsidR="00642D7C" w:rsidRPr="00642D7C" w:rsidRDefault="00642D7C" w:rsidP="00642D7C">
            <w:pPr>
              <w:rPr>
                <w:rFonts w:eastAsia="Calibri" w:cs="Times New Roman"/>
                <w:b/>
                <w:sz w:val="22"/>
                <w:szCs w:val="22"/>
                <w:lang w:val="en-TT"/>
              </w:rPr>
            </w:pPr>
            <w:r w:rsidRPr="00642D7C">
              <w:rPr>
                <w:rFonts w:eastAsia="Calibri" w:cs="Times New Roman"/>
                <w:b/>
                <w:sz w:val="22"/>
                <w:szCs w:val="22"/>
                <w:lang w:val="en-TT"/>
              </w:rPr>
              <w:t>Drug</w:t>
            </w:r>
          </w:p>
        </w:tc>
        <w:tc>
          <w:tcPr>
            <w:tcW w:w="1245" w:type="dxa"/>
          </w:tcPr>
          <w:p w:rsidR="00642D7C" w:rsidRPr="00642D7C" w:rsidRDefault="00642D7C" w:rsidP="00642D7C">
            <w:pPr>
              <w:rPr>
                <w:rFonts w:eastAsia="Calibri" w:cs="Times New Roman"/>
                <w:b/>
                <w:sz w:val="22"/>
                <w:szCs w:val="22"/>
                <w:lang w:val="en-TT"/>
              </w:rPr>
            </w:pPr>
            <w:r w:rsidRPr="00642D7C">
              <w:rPr>
                <w:rFonts w:eastAsia="Calibri" w:cs="Times New Roman"/>
                <w:b/>
                <w:sz w:val="22"/>
                <w:szCs w:val="22"/>
                <w:lang w:val="en-TT"/>
              </w:rPr>
              <w:t>Species</w:t>
            </w:r>
          </w:p>
        </w:tc>
        <w:tc>
          <w:tcPr>
            <w:tcW w:w="3380" w:type="dxa"/>
          </w:tcPr>
          <w:p w:rsidR="00642D7C" w:rsidRPr="00642D7C" w:rsidRDefault="00642D7C" w:rsidP="00642D7C">
            <w:pPr>
              <w:rPr>
                <w:rFonts w:eastAsia="Calibri" w:cs="Times New Roman"/>
                <w:b/>
                <w:sz w:val="22"/>
                <w:szCs w:val="22"/>
                <w:lang w:val="en-TT"/>
              </w:rPr>
            </w:pPr>
            <w:r w:rsidRPr="00642D7C">
              <w:rPr>
                <w:rFonts w:eastAsia="Calibri" w:cs="Times New Roman"/>
                <w:b/>
                <w:sz w:val="22"/>
                <w:szCs w:val="22"/>
                <w:lang w:val="en-TT"/>
              </w:rPr>
              <w:t>Indications</w:t>
            </w:r>
          </w:p>
        </w:tc>
        <w:tc>
          <w:tcPr>
            <w:tcW w:w="1868" w:type="dxa"/>
          </w:tcPr>
          <w:p w:rsidR="00642D7C" w:rsidRPr="00642D7C" w:rsidRDefault="00642D7C" w:rsidP="00642D7C">
            <w:pPr>
              <w:rPr>
                <w:rFonts w:eastAsia="Calibri" w:cs="Times New Roman"/>
                <w:b/>
                <w:sz w:val="22"/>
                <w:szCs w:val="22"/>
                <w:lang w:val="en-TT"/>
              </w:rPr>
            </w:pPr>
            <w:r w:rsidRPr="00642D7C">
              <w:rPr>
                <w:rFonts w:eastAsia="Calibri" w:cs="Times New Roman"/>
                <w:b/>
                <w:sz w:val="22"/>
                <w:szCs w:val="22"/>
                <w:lang w:val="en-TT"/>
              </w:rPr>
              <w:t>Therapeutic Dose</w:t>
            </w:r>
          </w:p>
        </w:tc>
        <w:tc>
          <w:tcPr>
            <w:tcW w:w="1957" w:type="dxa"/>
          </w:tcPr>
          <w:p w:rsidR="00642D7C" w:rsidRPr="00642D7C" w:rsidRDefault="00642D7C" w:rsidP="00642D7C">
            <w:pPr>
              <w:rPr>
                <w:rFonts w:eastAsia="Calibri" w:cs="Times New Roman"/>
                <w:b/>
                <w:sz w:val="22"/>
                <w:szCs w:val="22"/>
                <w:lang w:val="en-TT"/>
              </w:rPr>
            </w:pPr>
            <w:r w:rsidRPr="00642D7C">
              <w:rPr>
                <w:rFonts w:eastAsia="Calibri" w:cs="Times New Roman"/>
                <w:b/>
                <w:sz w:val="22"/>
                <w:szCs w:val="22"/>
                <w:lang w:val="en-TT"/>
              </w:rPr>
              <w:t>Lethal Dose/ Toxicity</w:t>
            </w:r>
          </w:p>
        </w:tc>
        <w:tc>
          <w:tcPr>
            <w:tcW w:w="2313" w:type="dxa"/>
          </w:tcPr>
          <w:p w:rsidR="00642D7C" w:rsidRPr="00642D7C" w:rsidRDefault="00642D7C" w:rsidP="00642D7C">
            <w:pPr>
              <w:rPr>
                <w:rFonts w:eastAsia="Calibri" w:cs="Times New Roman"/>
                <w:b/>
                <w:sz w:val="22"/>
                <w:szCs w:val="22"/>
                <w:lang w:val="en-TT"/>
              </w:rPr>
            </w:pPr>
            <w:r w:rsidRPr="00642D7C">
              <w:rPr>
                <w:rFonts w:eastAsia="Calibri" w:cs="Times New Roman"/>
                <w:b/>
                <w:sz w:val="22"/>
                <w:szCs w:val="22"/>
                <w:lang w:val="en-TT"/>
              </w:rPr>
              <w:t>Contraindications</w:t>
            </w:r>
          </w:p>
        </w:tc>
        <w:tc>
          <w:tcPr>
            <w:tcW w:w="4092" w:type="dxa"/>
          </w:tcPr>
          <w:p w:rsidR="00642D7C" w:rsidRPr="00642D7C" w:rsidRDefault="00642D7C" w:rsidP="00642D7C">
            <w:pPr>
              <w:rPr>
                <w:rFonts w:eastAsia="Calibri" w:cs="Times New Roman"/>
                <w:b/>
                <w:sz w:val="22"/>
                <w:szCs w:val="22"/>
                <w:lang w:val="en-TT"/>
              </w:rPr>
            </w:pPr>
            <w:r w:rsidRPr="00642D7C">
              <w:rPr>
                <w:rFonts w:eastAsia="Calibri" w:cs="Times New Roman"/>
                <w:b/>
                <w:sz w:val="22"/>
                <w:szCs w:val="22"/>
                <w:lang w:val="en-TT"/>
              </w:rPr>
              <w:t>Pharmacology</w:t>
            </w:r>
          </w:p>
        </w:tc>
        <w:tc>
          <w:tcPr>
            <w:tcW w:w="1825" w:type="dxa"/>
          </w:tcPr>
          <w:p w:rsidR="00642D7C" w:rsidRPr="00642D7C" w:rsidRDefault="00642D7C" w:rsidP="00642D7C">
            <w:pPr>
              <w:rPr>
                <w:rFonts w:eastAsia="Calibri" w:cs="Times New Roman"/>
                <w:b/>
                <w:sz w:val="22"/>
                <w:szCs w:val="22"/>
                <w:lang w:val="en-TT"/>
              </w:rPr>
            </w:pPr>
            <w:r w:rsidRPr="00642D7C">
              <w:rPr>
                <w:rFonts w:eastAsia="Calibri" w:cs="Times New Roman"/>
                <w:b/>
                <w:sz w:val="22"/>
                <w:szCs w:val="22"/>
                <w:lang w:val="en-TT"/>
              </w:rPr>
              <w:t>Adverse Effects</w:t>
            </w:r>
          </w:p>
        </w:tc>
      </w:tr>
      <w:tr w:rsidR="00642D7C" w:rsidRPr="00642D7C" w:rsidTr="00642D7C">
        <w:trPr>
          <w:trHeight w:val="9399"/>
        </w:trPr>
        <w:tc>
          <w:tcPr>
            <w:tcW w:w="2758" w:type="dxa"/>
          </w:tcPr>
          <w:p w:rsidR="00642D7C" w:rsidRDefault="00CA28FE" w:rsidP="00642D7C">
            <w:pPr>
              <w:ind w:left="-108"/>
              <w:rPr>
                <w:rFonts w:eastAsia="Calibri" w:cs="Times New Roman"/>
                <w:sz w:val="22"/>
                <w:szCs w:val="22"/>
                <w:lang w:val="en-TT"/>
              </w:rPr>
            </w:pPr>
            <w:proofErr w:type="spellStart"/>
            <w:r>
              <w:rPr>
                <w:rFonts w:eastAsia="Calibri" w:cs="Times New Roman"/>
                <w:sz w:val="22"/>
                <w:szCs w:val="22"/>
                <w:lang w:val="en-TT"/>
              </w:rPr>
              <w:t>Xylazin</w:t>
            </w:r>
            <w:proofErr w:type="spellEnd"/>
            <w:r w:rsidR="00642D7C" w:rsidRPr="00642D7C">
              <w:rPr>
                <w:rFonts w:eastAsia="Calibri" w:cs="Times New Roman"/>
                <w:sz w:val="22"/>
                <w:szCs w:val="22"/>
                <w:lang w:val="en-TT"/>
              </w:rPr>
              <w:t xml:space="preserve"> 2%</w:t>
            </w:r>
          </w:p>
          <w:p w:rsidR="00CA28FE" w:rsidRPr="00642D7C" w:rsidRDefault="00CA28FE" w:rsidP="00642D7C">
            <w:pPr>
              <w:ind w:left="-108"/>
              <w:rPr>
                <w:rFonts w:eastAsia="Calibri" w:cs="Times New Roman"/>
                <w:sz w:val="22"/>
                <w:szCs w:val="22"/>
                <w:lang w:val="en-TT"/>
              </w:rPr>
            </w:pPr>
          </w:p>
          <w:p w:rsidR="00642D7C" w:rsidRPr="00642D7C" w:rsidRDefault="00642D7C" w:rsidP="00642D7C">
            <w:pPr>
              <w:ind w:left="-108"/>
              <w:rPr>
                <w:rFonts w:eastAsia="Calibri" w:cs="Times New Roman"/>
                <w:sz w:val="22"/>
                <w:szCs w:val="22"/>
                <w:lang w:val="en-TT"/>
              </w:rPr>
            </w:pPr>
            <w:r w:rsidRPr="00642D7C">
              <w:rPr>
                <w:rFonts w:eastAsia="Calibri" w:cs="Times New Roman"/>
                <w:noProof/>
              </w:rPr>
              <w:drawing>
                <wp:inline distT="0" distB="0" distL="0" distR="0" wp14:anchorId="58367CEB" wp14:editId="3D6325FA">
                  <wp:extent cx="1619745" cy="2645500"/>
                  <wp:effectExtent l="19050" t="0" r="0" b="0"/>
                  <wp:docPr id="3" name="Picture 1" descr="E:\Dr. Diptee Introduction and Lab 1\las\Drugs\IMG_20180904_144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 Diptee Introduction and Lab 1\las\Drugs\IMG_20180904_144403.jpg"/>
                          <pic:cNvPicPr>
                            <a:picLocks noChangeAspect="1" noChangeArrowheads="1"/>
                          </pic:cNvPicPr>
                        </pic:nvPicPr>
                        <pic:blipFill>
                          <a:blip r:embed="rId5" cstate="print"/>
                          <a:srcRect t="28696" r="82904" b="33816"/>
                          <a:stretch>
                            <a:fillRect/>
                          </a:stretch>
                        </pic:blipFill>
                        <pic:spPr bwMode="auto">
                          <a:xfrm>
                            <a:off x="0" y="0"/>
                            <a:ext cx="1623957" cy="2652380"/>
                          </a:xfrm>
                          <a:prstGeom prst="rect">
                            <a:avLst/>
                          </a:prstGeom>
                          <a:noFill/>
                          <a:ln w="9525">
                            <a:noFill/>
                            <a:miter lim="800000"/>
                            <a:headEnd/>
                            <a:tailEnd/>
                          </a:ln>
                        </pic:spPr>
                      </pic:pic>
                    </a:graphicData>
                  </a:graphic>
                </wp:inline>
              </w:drawing>
            </w:r>
          </w:p>
          <w:p w:rsidR="00642D7C" w:rsidRPr="00642D7C" w:rsidRDefault="00642D7C" w:rsidP="00642D7C">
            <w:pPr>
              <w:ind w:left="-108"/>
              <w:rPr>
                <w:rFonts w:eastAsia="Calibri" w:cs="Times New Roman"/>
                <w:sz w:val="22"/>
                <w:szCs w:val="22"/>
                <w:lang w:val="en-TT"/>
              </w:rPr>
            </w:pPr>
          </w:p>
        </w:tc>
        <w:tc>
          <w:tcPr>
            <w:tcW w:w="1245" w:type="dxa"/>
          </w:tcPr>
          <w:p w:rsidR="00642D7C" w:rsidRPr="00642D7C" w:rsidRDefault="00642D7C" w:rsidP="00642D7C">
            <w:pPr>
              <w:rPr>
                <w:rFonts w:eastAsia="Calibri" w:cs="Times New Roman"/>
                <w:sz w:val="22"/>
                <w:szCs w:val="22"/>
                <w:lang w:val="en-TT"/>
              </w:rPr>
            </w:pPr>
            <w:r w:rsidRPr="00642D7C">
              <w:rPr>
                <w:rFonts w:eastAsia="Calibri" w:cs="Times New Roman"/>
                <w:sz w:val="22"/>
                <w:szCs w:val="22"/>
                <w:lang w:val="en-TT"/>
              </w:rPr>
              <w:t>Cattle, Horses, Sheep, Goats</w:t>
            </w:r>
          </w:p>
        </w:tc>
        <w:tc>
          <w:tcPr>
            <w:tcW w:w="3380" w:type="dxa"/>
          </w:tcPr>
          <w:p w:rsidR="00642D7C" w:rsidRPr="00642D7C" w:rsidRDefault="00642D7C" w:rsidP="00642D7C">
            <w:pPr>
              <w:autoSpaceDE w:val="0"/>
              <w:autoSpaceDN w:val="0"/>
              <w:adjustRightInd w:val="0"/>
              <w:rPr>
                <w:rFonts w:eastAsia="Calibri" w:cs="Times-Roman"/>
                <w:sz w:val="22"/>
                <w:szCs w:val="22"/>
              </w:rPr>
            </w:pPr>
            <w:r w:rsidRPr="00642D7C">
              <w:rPr>
                <w:rFonts w:eastAsia="Calibri" w:cs="Times-Roman"/>
                <w:sz w:val="22"/>
                <w:szCs w:val="22"/>
              </w:rPr>
              <w:t xml:space="preserve">A tranquilizing agent characterized in the horse by a rapid onset, good to excellent sedation, excellent analgesia of 15 to 30 minutes duration and a smooth recovery. Xylazine is particularly potent as a short- acting analgesic in horses with colic. The duration of sedation in ruminants is longer than in horses. </w:t>
            </w:r>
          </w:p>
          <w:p w:rsidR="00642D7C" w:rsidRPr="00642D7C" w:rsidRDefault="00642D7C" w:rsidP="00642D7C">
            <w:pPr>
              <w:autoSpaceDE w:val="0"/>
              <w:autoSpaceDN w:val="0"/>
              <w:adjustRightInd w:val="0"/>
              <w:rPr>
                <w:rFonts w:eastAsia="Calibri" w:cs="Times-Roman"/>
                <w:sz w:val="22"/>
                <w:szCs w:val="22"/>
              </w:rPr>
            </w:pPr>
            <w:r w:rsidRPr="00642D7C">
              <w:rPr>
                <w:rFonts w:eastAsia="Calibri" w:cs="Times-Roman"/>
                <w:sz w:val="22"/>
                <w:szCs w:val="22"/>
              </w:rPr>
              <w:t xml:space="preserve">In cattle, it is given as an epidural analgesic as well as in horses. </w:t>
            </w:r>
          </w:p>
        </w:tc>
        <w:tc>
          <w:tcPr>
            <w:tcW w:w="1868" w:type="dxa"/>
          </w:tcPr>
          <w:p w:rsidR="00642D7C" w:rsidRPr="00642D7C" w:rsidRDefault="00642D7C" w:rsidP="00642D7C">
            <w:pPr>
              <w:rPr>
                <w:rFonts w:eastAsia="Calibri" w:cs="Times-Roman"/>
                <w:sz w:val="22"/>
                <w:szCs w:val="22"/>
              </w:rPr>
            </w:pPr>
            <w:r w:rsidRPr="00642D7C">
              <w:rPr>
                <w:rFonts w:eastAsia="Calibri" w:cs="Times-Roman"/>
                <w:sz w:val="22"/>
                <w:szCs w:val="22"/>
              </w:rPr>
              <w:t xml:space="preserve">Horses: </w:t>
            </w:r>
          </w:p>
          <w:p w:rsidR="00642D7C" w:rsidRPr="00642D7C" w:rsidRDefault="00642D7C" w:rsidP="00642D7C">
            <w:pPr>
              <w:rPr>
                <w:rFonts w:eastAsia="Calibri" w:cs="Times-Roman"/>
                <w:sz w:val="22"/>
                <w:szCs w:val="22"/>
              </w:rPr>
            </w:pPr>
            <w:r w:rsidRPr="00642D7C">
              <w:rPr>
                <w:rFonts w:eastAsia="Calibri" w:cs="Times-Roman"/>
                <w:sz w:val="22"/>
                <w:szCs w:val="22"/>
              </w:rPr>
              <w:t>0.2- 1.0 mg/kg intravenously</w:t>
            </w:r>
          </w:p>
          <w:p w:rsidR="00642D7C" w:rsidRPr="00642D7C" w:rsidRDefault="00642D7C" w:rsidP="00642D7C">
            <w:pPr>
              <w:rPr>
                <w:rFonts w:eastAsia="Calibri" w:cs="Times-Roman"/>
                <w:sz w:val="22"/>
                <w:szCs w:val="22"/>
              </w:rPr>
            </w:pPr>
            <w:r w:rsidRPr="00642D7C">
              <w:rPr>
                <w:rFonts w:eastAsia="Calibri" w:cs="Times-Roman"/>
                <w:sz w:val="22"/>
                <w:szCs w:val="22"/>
              </w:rPr>
              <w:t xml:space="preserve">1.0-2.2 mg/kg intramuscularly </w:t>
            </w:r>
          </w:p>
          <w:p w:rsidR="00642D7C" w:rsidRPr="00642D7C" w:rsidRDefault="00642D7C" w:rsidP="00642D7C">
            <w:pPr>
              <w:rPr>
                <w:rFonts w:eastAsia="Calibri" w:cs="Times-Roman"/>
                <w:sz w:val="22"/>
                <w:szCs w:val="22"/>
              </w:rPr>
            </w:pPr>
          </w:p>
          <w:p w:rsidR="00642D7C" w:rsidRPr="00642D7C" w:rsidRDefault="00642D7C" w:rsidP="00642D7C">
            <w:pPr>
              <w:rPr>
                <w:rFonts w:eastAsia="Calibri" w:cs="Times-Roman"/>
                <w:sz w:val="22"/>
                <w:szCs w:val="22"/>
              </w:rPr>
            </w:pPr>
            <w:r w:rsidRPr="00642D7C">
              <w:rPr>
                <w:rFonts w:eastAsia="Calibri" w:cs="Times-Roman"/>
                <w:sz w:val="22"/>
                <w:szCs w:val="22"/>
              </w:rPr>
              <w:t>Cattle:</w:t>
            </w:r>
          </w:p>
          <w:p w:rsidR="00642D7C" w:rsidRPr="00642D7C" w:rsidRDefault="00642D7C" w:rsidP="00642D7C">
            <w:pPr>
              <w:rPr>
                <w:rFonts w:eastAsia="Calibri" w:cs="Times-Roman"/>
                <w:sz w:val="22"/>
                <w:szCs w:val="22"/>
              </w:rPr>
            </w:pPr>
            <w:r w:rsidRPr="00642D7C">
              <w:rPr>
                <w:rFonts w:eastAsia="Calibri" w:cs="Times-Roman"/>
                <w:sz w:val="22"/>
                <w:szCs w:val="22"/>
              </w:rPr>
              <w:t>0.10-0.33 mg/kg intramuscularly</w:t>
            </w:r>
          </w:p>
          <w:p w:rsidR="00642D7C" w:rsidRPr="00642D7C" w:rsidRDefault="00642D7C" w:rsidP="00642D7C">
            <w:pPr>
              <w:rPr>
                <w:rFonts w:eastAsia="Calibri" w:cs="Times-Roman"/>
                <w:sz w:val="22"/>
                <w:szCs w:val="22"/>
              </w:rPr>
            </w:pPr>
            <w:r w:rsidRPr="00642D7C">
              <w:rPr>
                <w:rFonts w:eastAsia="Calibri" w:cs="Times-Roman"/>
                <w:sz w:val="22"/>
                <w:szCs w:val="22"/>
              </w:rPr>
              <w:t xml:space="preserve">0.05-0.15 mg/kg intravenously  </w:t>
            </w:r>
          </w:p>
        </w:tc>
        <w:tc>
          <w:tcPr>
            <w:tcW w:w="1957" w:type="dxa"/>
          </w:tcPr>
          <w:p w:rsidR="00642D7C" w:rsidRPr="00642D7C" w:rsidRDefault="00642D7C" w:rsidP="00642D7C">
            <w:pPr>
              <w:rPr>
                <w:rFonts w:eastAsia="Calibri" w:cs="Times-Roman"/>
                <w:sz w:val="22"/>
                <w:szCs w:val="22"/>
              </w:rPr>
            </w:pPr>
            <w:r w:rsidRPr="00642D7C">
              <w:rPr>
                <w:rFonts w:eastAsia="Calibri" w:cs="Times-Roman"/>
                <w:sz w:val="22"/>
                <w:szCs w:val="22"/>
              </w:rPr>
              <w:t>Horses:  15- 27 mg/kg intravenously; 60-70 mg/kg intramuscularly</w:t>
            </w:r>
          </w:p>
          <w:p w:rsidR="00642D7C" w:rsidRPr="00642D7C" w:rsidRDefault="00642D7C" w:rsidP="00642D7C">
            <w:pPr>
              <w:rPr>
                <w:rFonts w:eastAsia="Calibri" w:cs="Times-Roman"/>
                <w:sz w:val="22"/>
                <w:szCs w:val="22"/>
              </w:rPr>
            </w:pPr>
          </w:p>
          <w:p w:rsidR="00642D7C" w:rsidRPr="00642D7C" w:rsidRDefault="00642D7C" w:rsidP="00642D7C">
            <w:pPr>
              <w:rPr>
                <w:rFonts w:eastAsia="Calibri" w:cs="Times-Roman"/>
                <w:sz w:val="22"/>
                <w:szCs w:val="22"/>
              </w:rPr>
            </w:pPr>
            <w:r w:rsidRPr="00642D7C">
              <w:rPr>
                <w:rFonts w:eastAsia="Calibri" w:cs="Times-Roman"/>
                <w:sz w:val="22"/>
                <w:szCs w:val="22"/>
              </w:rPr>
              <w:t xml:space="preserve">Cattle: 0.9 mg/kg </w:t>
            </w:r>
          </w:p>
        </w:tc>
        <w:tc>
          <w:tcPr>
            <w:tcW w:w="2313" w:type="dxa"/>
          </w:tcPr>
          <w:p w:rsidR="00642D7C" w:rsidRPr="00642D7C" w:rsidRDefault="00642D7C" w:rsidP="00642D7C">
            <w:pPr>
              <w:rPr>
                <w:rFonts w:eastAsia="Calibri" w:cs="Times-Roman"/>
                <w:sz w:val="22"/>
                <w:szCs w:val="22"/>
              </w:rPr>
            </w:pPr>
            <w:r w:rsidRPr="00642D7C">
              <w:rPr>
                <w:rFonts w:eastAsia="Calibri" w:cs="Times-Roman"/>
                <w:sz w:val="22"/>
                <w:szCs w:val="22"/>
              </w:rPr>
              <w:t>Animals receiving epinephrine or those with ventricular arrhythmias. It should be used with caution in animals with heart disease, hypotension, shock, respiratory dysfunction, severe hepatic or renal disease, a history of seizure activity, or those severely debilitated.</w:t>
            </w:r>
          </w:p>
        </w:tc>
        <w:tc>
          <w:tcPr>
            <w:tcW w:w="4092" w:type="dxa"/>
          </w:tcPr>
          <w:p w:rsidR="00642D7C" w:rsidRPr="00642D7C" w:rsidRDefault="00010BC0" w:rsidP="00642D7C">
            <w:pPr>
              <w:shd w:val="clear" w:color="auto" w:fill="FFFFFF"/>
              <w:spacing w:before="100" w:beforeAutospacing="1" w:after="100" w:afterAutospacing="1"/>
              <w:rPr>
                <w:rFonts w:eastAsia="Calibri" w:cs="Times-Roman"/>
                <w:sz w:val="22"/>
                <w:szCs w:val="22"/>
              </w:rPr>
            </w:pPr>
            <w:proofErr w:type="spellStart"/>
            <w:r>
              <w:rPr>
                <w:rFonts w:eastAsia="Calibri" w:cs="Times-Roman"/>
                <w:sz w:val="22"/>
                <w:szCs w:val="22"/>
              </w:rPr>
              <w:t>Xylazin</w:t>
            </w:r>
            <w:proofErr w:type="spellEnd"/>
            <w:r>
              <w:rPr>
                <w:rFonts w:eastAsia="Calibri" w:cs="Times-Roman"/>
                <w:sz w:val="22"/>
                <w:szCs w:val="22"/>
              </w:rPr>
              <w:t xml:space="preserve"> Injection (</w:t>
            </w:r>
            <w:proofErr w:type="spellStart"/>
            <w:r>
              <w:rPr>
                <w:rFonts w:eastAsia="Calibri" w:cs="Times-Roman"/>
                <w:sz w:val="22"/>
                <w:szCs w:val="22"/>
              </w:rPr>
              <w:t>xylazin</w:t>
            </w:r>
            <w:proofErr w:type="spellEnd"/>
            <w:r w:rsidR="00642D7C" w:rsidRPr="00642D7C">
              <w:rPr>
                <w:rFonts w:eastAsia="Calibri" w:cs="Times-Roman"/>
                <w:sz w:val="22"/>
                <w:szCs w:val="22"/>
              </w:rPr>
              <w:t>), a non-narcotic compound, is a sedative and analgesic as well as muscle relaxant. Its sedative and analgesic activity is related to central nervous system depression. Its muscle relaxant effect is based on inhibition of the intraneural transmission of impulses in the central nervous system. The principal pharmacological activities develop within 10 to 15 minutes after intramuscular injection in horses and </w:t>
            </w:r>
            <w:proofErr w:type="spellStart"/>
            <w:r w:rsidR="00642D7C" w:rsidRPr="00642D7C">
              <w:rPr>
                <w:rFonts w:eastAsia="Calibri" w:cs="Times-Roman"/>
                <w:sz w:val="22"/>
                <w:szCs w:val="22"/>
              </w:rPr>
              <w:t>Cervidae</w:t>
            </w:r>
            <w:proofErr w:type="spellEnd"/>
            <w:r w:rsidR="00642D7C" w:rsidRPr="00642D7C">
              <w:rPr>
                <w:rFonts w:eastAsia="Calibri" w:cs="Times-Roman"/>
                <w:sz w:val="22"/>
                <w:szCs w:val="22"/>
              </w:rPr>
              <w:t>, and within 3 to 5 minutes following intravenous administration in horses.</w:t>
            </w:r>
          </w:p>
          <w:p w:rsidR="00642D7C" w:rsidRPr="00642D7C" w:rsidRDefault="00642D7C" w:rsidP="00642D7C">
            <w:pPr>
              <w:shd w:val="clear" w:color="auto" w:fill="FFFFFF"/>
              <w:spacing w:before="100" w:beforeAutospacing="1" w:after="100" w:afterAutospacing="1"/>
              <w:rPr>
                <w:rFonts w:eastAsia="Calibri" w:cs="Times-Roman"/>
                <w:sz w:val="22"/>
                <w:szCs w:val="22"/>
              </w:rPr>
            </w:pPr>
            <w:r w:rsidRPr="00642D7C">
              <w:rPr>
                <w:rFonts w:eastAsia="Calibri" w:cs="Times-Roman"/>
                <w:sz w:val="22"/>
                <w:szCs w:val="22"/>
              </w:rPr>
              <w:t xml:space="preserve">Following treatment with </w:t>
            </w:r>
            <w:proofErr w:type="spellStart"/>
            <w:proofErr w:type="gramStart"/>
            <w:r w:rsidRPr="00642D7C">
              <w:rPr>
                <w:rFonts w:eastAsia="Calibri" w:cs="Times-Roman"/>
                <w:sz w:val="22"/>
                <w:szCs w:val="22"/>
              </w:rPr>
              <w:t>Xylazin</w:t>
            </w:r>
            <w:proofErr w:type="spellEnd"/>
            <w:r w:rsidRPr="00642D7C">
              <w:rPr>
                <w:rFonts w:eastAsia="Calibri" w:cs="Times-Roman"/>
                <w:sz w:val="22"/>
                <w:szCs w:val="22"/>
              </w:rPr>
              <w:t xml:space="preserve">  Injection</w:t>
            </w:r>
            <w:proofErr w:type="gramEnd"/>
            <w:r w:rsidRPr="00642D7C">
              <w:rPr>
                <w:rFonts w:eastAsia="Calibri" w:cs="Times-Roman"/>
                <w:sz w:val="22"/>
                <w:szCs w:val="22"/>
              </w:rPr>
              <w:t xml:space="preserve"> (</w:t>
            </w:r>
            <w:proofErr w:type="spellStart"/>
            <w:r w:rsidRPr="00642D7C">
              <w:rPr>
                <w:rFonts w:eastAsia="Calibri" w:cs="Times-Roman"/>
                <w:sz w:val="22"/>
                <w:szCs w:val="22"/>
              </w:rPr>
              <w:t>xylazin</w:t>
            </w:r>
            <w:proofErr w:type="spellEnd"/>
            <w:r w:rsidRPr="00642D7C">
              <w:rPr>
                <w:rFonts w:eastAsia="Calibri" w:cs="Times-Roman"/>
                <w:sz w:val="22"/>
                <w:szCs w:val="22"/>
              </w:rPr>
              <w:t>), the heart rate is decreased and a transient change in the conductivity of the cardiac muscle may occur, as evidenced by a partial atrioventricular block. When given intravenously in horses, the incidence of partial A-V block is higher. Intravenous administration causes a transient rise in blood pressure in horses, followed by a slight decrease.</w:t>
            </w:r>
          </w:p>
          <w:p w:rsidR="00642D7C" w:rsidRPr="00642D7C" w:rsidRDefault="00642D7C" w:rsidP="00642D7C">
            <w:pPr>
              <w:shd w:val="clear" w:color="auto" w:fill="FFFFFF"/>
              <w:spacing w:before="100" w:beforeAutospacing="1" w:after="100" w:afterAutospacing="1"/>
              <w:rPr>
                <w:rFonts w:eastAsia="Times New Roman" w:cs="Times-Roman"/>
                <w:sz w:val="22"/>
                <w:szCs w:val="22"/>
              </w:rPr>
            </w:pPr>
            <w:bookmarkStart w:id="0" w:name="_GoBack"/>
            <w:bookmarkEnd w:id="0"/>
            <w:r w:rsidRPr="00642D7C">
              <w:rPr>
                <w:rFonts w:eastAsia="Calibri" w:cs="Times-Roman"/>
                <w:sz w:val="22"/>
                <w:szCs w:val="22"/>
              </w:rPr>
              <w:t>.</w:t>
            </w:r>
          </w:p>
        </w:tc>
        <w:tc>
          <w:tcPr>
            <w:tcW w:w="1825" w:type="dxa"/>
          </w:tcPr>
          <w:p w:rsidR="00642D7C" w:rsidRPr="00642D7C" w:rsidRDefault="00642D7C" w:rsidP="00642D7C">
            <w:pPr>
              <w:shd w:val="clear" w:color="auto" w:fill="FFFFFF"/>
              <w:spacing w:before="100" w:beforeAutospacing="1" w:after="100" w:afterAutospacing="1"/>
              <w:rPr>
                <w:rFonts w:eastAsia="Calibri" w:cs="Times-Roman"/>
                <w:sz w:val="22"/>
                <w:szCs w:val="22"/>
              </w:rPr>
            </w:pPr>
            <w:r w:rsidRPr="00642D7C">
              <w:rPr>
                <w:rFonts w:eastAsia="Calibri" w:cs="Times-Roman"/>
                <w:sz w:val="22"/>
                <w:szCs w:val="22"/>
              </w:rPr>
              <w:t>At recommended dosage levels may occasionally cause slight muscle tremors, bradycardia with partial A-V heart block and a reduced respiratory rate. Movement in response to sharp auditory stimuli may be observed.</w:t>
            </w:r>
          </w:p>
          <w:p w:rsidR="00642D7C" w:rsidRPr="00642D7C" w:rsidRDefault="00642D7C" w:rsidP="00642D7C">
            <w:pPr>
              <w:shd w:val="clear" w:color="auto" w:fill="FFFFFF"/>
              <w:spacing w:before="100" w:beforeAutospacing="1" w:after="100" w:afterAutospacing="1"/>
              <w:rPr>
                <w:rFonts w:eastAsia="Calibri" w:cs="Times-Roman"/>
                <w:sz w:val="22"/>
                <w:szCs w:val="22"/>
              </w:rPr>
            </w:pPr>
            <w:r w:rsidRPr="00642D7C">
              <w:rPr>
                <w:rFonts w:eastAsia="Calibri" w:cs="Times-Roman"/>
                <w:sz w:val="22"/>
                <w:szCs w:val="22"/>
              </w:rPr>
              <w:t>In horses, sweating, rarely profuse, has been reported following administration.</w:t>
            </w:r>
          </w:p>
          <w:p w:rsidR="00642D7C" w:rsidRPr="00642D7C" w:rsidRDefault="00642D7C" w:rsidP="00642D7C">
            <w:pPr>
              <w:autoSpaceDE w:val="0"/>
              <w:autoSpaceDN w:val="0"/>
              <w:adjustRightInd w:val="0"/>
              <w:rPr>
                <w:rFonts w:eastAsia="Calibri" w:cs="Times-Roman"/>
                <w:sz w:val="22"/>
                <w:szCs w:val="22"/>
              </w:rPr>
            </w:pPr>
          </w:p>
        </w:tc>
      </w:tr>
    </w:tbl>
    <w:p w:rsidR="000B719E" w:rsidRPr="00642D7C" w:rsidRDefault="000B719E">
      <w:pPr>
        <w:rPr>
          <w:rFonts w:ascii="Cambria" w:hAnsi="Cambria"/>
        </w:rPr>
      </w:pPr>
    </w:p>
    <w:sectPr w:rsidR="000B719E" w:rsidRPr="00642D7C" w:rsidSect="00642D7C">
      <w:pgSz w:w="20160" w:h="12240" w:orient="landscape" w:code="5"/>
      <w:pgMar w:top="426"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A1D"/>
    <w:multiLevelType w:val="hybridMultilevel"/>
    <w:tmpl w:val="AC469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B1C38"/>
    <w:multiLevelType w:val="hybridMultilevel"/>
    <w:tmpl w:val="8B803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51415E"/>
    <w:multiLevelType w:val="hybridMultilevel"/>
    <w:tmpl w:val="10481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D7"/>
    <w:rsid w:val="00010BC0"/>
    <w:rsid w:val="000B719E"/>
    <w:rsid w:val="00642D7C"/>
    <w:rsid w:val="00726764"/>
    <w:rsid w:val="007F5BEF"/>
    <w:rsid w:val="00A35ED7"/>
    <w:rsid w:val="00A86339"/>
    <w:rsid w:val="00CA28FE"/>
    <w:rsid w:val="00E573C1"/>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6AB3"/>
  <w15:chartTrackingRefBased/>
  <w15:docId w15:val="{652CA865-114C-40EE-A066-BC84345B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before="24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5ED7"/>
    <w:pPr>
      <w:spacing w:before="0" w:line="240" w:lineRule="auto"/>
      <w:jc w:val="left"/>
    </w:pPr>
    <w:rPr>
      <w:rFonts w:ascii="Cambria" w:hAnsi="Cambr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BEF"/>
    <w:pPr>
      <w:spacing w:before="0" w:after="200" w:line="276" w:lineRule="auto"/>
      <w:ind w:left="720"/>
      <w:contextualSpacing/>
      <w:jc w:val="left"/>
    </w:pPr>
    <w:rPr>
      <w:rFonts w:ascii="Cambria" w:hAnsi="Cambria"/>
      <w:sz w:val="24"/>
      <w:szCs w:val="24"/>
    </w:rPr>
  </w:style>
  <w:style w:type="table" w:customStyle="1" w:styleId="TableGrid1">
    <w:name w:val="Table Grid1"/>
    <w:basedOn w:val="TableNormal"/>
    <w:next w:val="TableGrid"/>
    <w:uiPriority w:val="59"/>
    <w:rsid w:val="00642D7C"/>
    <w:pPr>
      <w:spacing w:before="0" w:line="240" w:lineRule="auto"/>
      <w:jc w:val="left"/>
    </w:pPr>
    <w:rPr>
      <w:rFonts w:ascii="Cambria" w:hAnsi="Cambr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Maharaj</dc:creator>
  <cp:keywords/>
  <dc:description/>
  <cp:lastModifiedBy>Krystal Maharaj</cp:lastModifiedBy>
  <cp:revision>6</cp:revision>
  <dcterms:created xsi:type="dcterms:W3CDTF">2018-09-08T03:43:00Z</dcterms:created>
  <dcterms:modified xsi:type="dcterms:W3CDTF">2018-09-08T08:09:00Z</dcterms:modified>
</cp:coreProperties>
</file>