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933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44"/>
        <w:gridCol w:w="1238"/>
        <w:gridCol w:w="3363"/>
        <w:gridCol w:w="1858"/>
        <w:gridCol w:w="1946"/>
        <w:gridCol w:w="2301"/>
        <w:gridCol w:w="4072"/>
        <w:gridCol w:w="1815"/>
      </w:tblGrid>
      <w:tr w:rsidR="00A26DEA" w:rsidRPr="00642D7C" w:rsidTr="00A26DEA">
        <w:trPr>
          <w:trHeight w:val="790"/>
        </w:trPr>
        <w:tc>
          <w:tcPr>
            <w:tcW w:w="2744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Drug</w:t>
            </w:r>
          </w:p>
        </w:tc>
        <w:tc>
          <w:tcPr>
            <w:tcW w:w="1238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Species</w:t>
            </w:r>
          </w:p>
        </w:tc>
        <w:tc>
          <w:tcPr>
            <w:tcW w:w="3363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Indications</w:t>
            </w:r>
          </w:p>
        </w:tc>
        <w:tc>
          <w:tcPr>
            <w:tcW w:w="1858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Therapeutic Dose</w:t>
            </w:r>
          </w:p>
        </w:tc>
        <w:tc>
          <w:tcPr>
            <w:tcW w:w="1946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Lethal Dose/ Toxicity</w:t>
            </w:r>
          </w:p>
        </w:tc>
        <w:tc>
          <w:tcPr>
            <w:tcW w:w="2301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Contraindications</w:t>
            </w:r>
          </w:p>
        </w:tc>
        <w:tc>
          <w:tcPr>
            <w:tcW w:w="4072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Pharmacology</w:t>
            </w:r>
          </w:p>
        </w:tc>
        <w:tc>
          <w:tcPr>
            <w:tcW w:w="1815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Adverse Effects</w:t>
            </w:r>
          </w:p>
        </w:tc>
      </w:tr>
      <w:tr w:rsidR="00A26DEA" w:rsidRPr="00642D7C" w:rsidTr="00A26DEA">
        <w:trPr>
          <w:trHeight w:val="8794"/>
        </w:trPr>
        <w:tc>
          <w:tcPr>
            <w:tcW w:w="2744" w:type="dxa"/>
          </w:tcPr>
          <w:p w:rsidR="00F1753D" w:rsidRPr="00F1753D" w:rsidRDefault="00F1753D" w:rsidP="00F1753D">
            <w:pPr>
              <w:ind w:left="-108"/>
              <w:rPr>
                <w:sz w:val="22"/>
                <w:szCs w:val="22"/>
              </w:rPr>
            </w:pPr>
            <w:r w:rsidRPr="00F1753D">
              <w:rPr>
                <w:sz w:val="22"/>
                <w:szCs w:val="22"/>
              </w:rPr>
              <w:t>Ketamin 10%</w:t>
            </w:r>
          </w:p>
          <w:p w:rsidR="00F1753D" w:rsidRPr="00F1753D" w:rsidRDefault="00F1753D" w:rsidP="00F1753D">
            <w:pPr>
              <w:ind w:left="-108"/>
              <w:rPr>
                <w:sz w:val="22"/>
                <w:szCs w:val="22"/>
              </w:rPr>
            </w:pPr>
          </w:p>
          <w:p w:rsidR="00F1753D" w:rsidRPr="00F1753D" w:rsidRDefault="00F1753D" w:rsidP="00F1753D">
            <w:pPr>
              <w:ind w:left="-108"/>
              <w:rPr>
                <w:sz w:val="22"/>
                <w:szCs w:val="22"/>
              </w:rPr>
            </w:pPr>
            <w:r w:rsidRPr="00F1753D">
              <w:rPr>
                <w:noProof/>
              </w:rPr>
              <w:drawing>
                <wp:inline distT="0" distB="0" distL="0" distR="0" wp14:anchorId="1938D353" wp14:editId="340FE2E8">
                  <wp:extent cx="1619745" cy="3135086"/>
                  <wp:effectExtent l="19050" t="0" r="0" b="0"/>
                  <wp:docPr id="4" name="Picture 2" descr="E:\Dr. Diptee Introduction and Lab 1\las\Drugs\IMG_20180904_144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r. Diptee Introduction and Lab 1\las\Drugs\IMG_20180904_144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011" t="16522" r="47434" b="2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243" cy="314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F1753D" w:rsidRPr="00F1753D" w:rsidRDefault="00F1753D" w:rsidP="00F1753D">
            <w:pPr>
              <w:rPr>
                <w:sz w:val="22"/>
                <w:szCs w:val="22"/>
              </w:rPr>
            </w:pPr>
            <w:r w:rsidRPr="00F1753D">
              <w:rPr>
                <w:sz w:val="22"/>
                <w:szCs w:val="22"/>
              </w:rPr>
              <w:t>Cattle, Horses, Sheep, Goats, Swine</w:t>
            </w:r>
          </w:p>
        </w:tc>
        <w:tc>
          <w:tcPr>
            <w:tcW w:w="3363" w:type="dxa"/>
          </w:tcPr>
          <w:p w:rsidR="00A26DEA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 xml:space="preserve">Rapid- acting, non- barbiturate general anesthetic. It is classified as a dissociative anesthetic and is accompanied by marked analgesia in most species. May be used in combination with a tranquilizing agent such as Xylazine in large animals for induction of general anesthesia for endotracheal intubation, also for short procedures such as a surgical repair of minor wounds or castration of stallions or colts. Muscle relaxation with Ketamine alone is poor. </w:t>
            </w: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P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A26DEA" w:rsidRDefault="00A26DEA" w:rsidP="00A26DEA">
            <w:pPr>
              <w:rPr>
                <w:rFonts w:cs="Times-Roman"/>
                <w:sz w:val="22"/>
                <w:szCs w:val="22"/>
              </w:rPr>
            </w:pPr>
          </w:p>
          <w:p w:rsidR="00F1753D" w:rsidRPr="00A26DEA" w:rsidRDefault="00F1753D" w:rsidP="00A26DEA">
            <w:pPr>
              <w:jc w:val="center"/>
              <w:rPr>
                <w:rFonts w:cs="Times-Roman"/>
                <w:sz w:val="22"/>
                <w:szCs w:val="22"/>
              </w:rPr>
            </w:pPr>
          </w:p>
        </w:tc>
        <w:tc>
          <w:tcPr>
            <w:tcW w:w="1858" w:type="dxa"/>
          </w:tcPr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Cattle: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 xml:space="preserve">Premedicate with atropine and xylazine, then ketamine 2.0 mg/kg IV bolus. After sedation, 2.2 mg/kg IV 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Horses: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For field anesthesia: Sedate with xylazine (1.0 mg/kg IV; 2.0 mg/kg IM) given 5-10 minutes (longer for IM route) before induction of anesthesia with ketamine (2 mg/kg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 xml:space="preserve">IV). 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Swine: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a) Give atropine, then ketamine at 11 mg/kg IM. To prolong anesthesia and increase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 xml:space="preserve">analgesia give additional ketamine 2 - 4 mg/kg IV. </w:t>
            </w:r>
          </w:p>
        </w:tc>
        <w:tc>
          <w:tcPr>
            <w:tcW w:w="1946" w:type="dxa"/>
          </w:tcPr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Ketamine is considered to have a wide therapeutic index (approximately 5 times greater when compared to pentobarbital). When given in excessive doses or too rapidly,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significant respiratory depression may occur. Treatment using mechanically assisted respiratory</w:t>
            </w:r>
          </w:p>
          <w:p w:rsidR="00F1753D" w:rsidRPr="00F1753D" w:rsidRDefault="00F1753D" w:rsidP="00F1753D">
            <w:pPr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support is recommended versus the use of analeptic agents.</w:t>
            </w:r>
          </w:p>
        </w:tc>
        <w:tc>
          <w:tcPr>
            <w:tcW w:w="2301" w:type="dxa"/>
          </w:tcPr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Ketamine is contraindicated in patients who have exhibited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prior hypersensitivity reactions to it and in animals to be used for human consumption. Its use in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patients with significant hypertension, heart failure, and arterial aneurysms could be hazardous.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Ketamine can cause increases in CSF pressure and it should not be used in cases with elevated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pressures or when head trauma has occurred. Because of its supposed epileptogenic potential, it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should generally not be used (unless very cautiously) in animals with preexisting seizure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disorders. As myelography can induce seizures, ketamine should be used cautiously in animals</w:t>
            </w:r>
          </w:p>
          <w:p w:rsidR="00F1753D" w:rsidRPr="00F1753D" w:rsidRDefault="00F1753D" w:rsidP="00F1753D">
            <w:pPr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undergoing this procedure.</w:t>
            </w:r>
          </w:p>
          <w:p w:rsidR="00F1753D" w:rsidRPr="00F1753D" w:rsidRDefault="00F1753D" w:rsidP="00F1753D">
            <w:pPr>
              <w:rPr>
                <w:rFonts w:cs="Times-Roman"/>
                <w:sz w:val="22"/>
                <w:szCs w:val="22"/>
              </w:rPr>
            </w:pPr>
          </w:p>
        </w:tc>
        <w:tc>
          <w:tcPr>
            <w:tcW w:w="4072" w:type="dxa"/>
          </w:tcPr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Ketamine is a rapid acting general anesthetic that also has significant analgesic activity and a lack of cardiopulmonary depressant effects. It is thought to induce both anesthesia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and amnesia by functionally disrupting the CNS through over stimulating the CNS or inducing a cataleptic state. Ketamine inhibits GABA, and also may block serotonin, norepinephrine, and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dopamine in the CNS. The thalamoneocortical system is depressed while the limbic system is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activated. It induces anesthetic stages I &amp; II, but not stage III. In cats, it causes a slight hypothermic effect as body temperatures decrease on average by 1.6°C after therapeutic doses.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Effects on muscle tone are described as being variable, but ketamine generally either causes no changes in muscle tone or increased tone. Ketamine does not abrogate the pinnal and pedal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reflexes, nor the photic, corneal, laryngeal or pharyngeal reflexes.</w:t>
            </w:r>
          </w:p>
          <w:p w:rsidR="00F1753D" w:rsidRPr="00F1753D" w:rsidRDefault="00F1753D" w:rsidP="00F1753D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Ketamine’s effects on the cardiovascular system include increased cardiac output, heart rate,</w:t>
            </w:r>
            <w:r w:rsidR="002336BF">
              <w:rPr>
                <w:rFonts w:cs="Times-Roman"/>
                <w:sz w:val="22"/>
                <w:szCs w:val="22"/>
              </w:rPr>
              <w:t xml:space="preserve"> </w:t>
            </w:r>
            <w:r w:rsidRPr="00F1753D">
              <w:rPr>
                <w:rFonts w:cs="Times-Roman"/>
                <w:sz w:val="22"/>
                <w:szCs w:val="22"/>
              </w:rPr>
              <w:t>mean aortic pressure, pulmonary artery pressure, and central venous pressure. Its effects on total</w:t>
            </w:r>
          </w:p>
          <w:p w:rsidR="00F1753D" w:rsidRPr="00F1753D" w:rsidRDefault="00F1753D" w:rsidP="002336BF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peripheral resistance are described as being variable. Cardiovascular effects are secondary to</w:t>
            </w:r>
            <w:r w:rsidR="002336BF">
              <w:rPr>
                <w:rFonts w:cs="Times-Roman"/>
                <w:sz w:val="22"/>
                <w:szCs w:val="22"/>
              </w:rPr>
              <w:t xml:space="preserve"> </w:t>
            </w:r>
            <w:r w:rsidRPr="00F1753D">
              <w:rPr>
                <w:rFonts w:cs="Times-Roman"/>
                <w:sz w:val="22"/>
                <w:szCs w:val="22"/>
              </w:rPr>
              <w:t>increased sympathetic tone; ketamine has negative inotropic effects if the sympathetic system is blocked.</w:t>
            </w:r>
          </w:p>
        </w:tc>
        <w:tc>
          <w:tcPr>
            <w:tcW w:w="1815" w:type="dxa"/>
          </w:tcPr>
          <w:p w:rsidR="00F1753D" w:rsidRPr="00F1753D" w:rsidRDefault="00F1753D" w:rsidP="002336BF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F1753D">
              <w:rPr>
                <w:rFonts w:cs="Times-Roman"/>
                <w:sz w:val="22"/>
                <w:szCs w:val="22"/>
              </w:rPr>
              <w:t>Respiratory depression, following high doses, emesis, vocalization, erratic</w:t>
            </w:r>
            <w:r w:rsidR="002336BF">
              <w:rPr>
                <w:rFonts w:cs="Times-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1753D">
              <w:rPr>
                <w:rFonts w:cs="Times-Roman"/>
                <w:sz w:val="22"/>
                <w:szCs w:val="22"/>
              </w:rPr>
              <w:t>and prolonged recovery, dyspnea, spastic jerking movements, convulsions, muscular tremors, hypertonicity, opisthotonos and cardiac arrest.</w:t>
            </w:r>
          </w:p>
        </w:tc>
      </w:tr>
    </w:tbl>
    <w:p w:rsidR="000B719E" w:rsidRPr="00F1753D" w:rsidRDefault="000B719E" w:rsidP="00A26DEA">
      <w:pPr>
        <w:rPr>
          <w:rFonts w:ascii="Cambria" w:hAnsi="Cambria"/>
        </w:rPr>
      </w:pPr>
    </w:p>
    <w:sectPr w:rsidR="000B719E" w:rsidRPr="00F1753D" w:rsidSect="00A26DEA">
      <w:pgSz w:w="20160" w:h="12240" w:orient="landscape" w:code="5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3BC" w:rsidRDefault="008923BC" w:rsidP="00A26DEA">
      <w:pPr>
        <w:spacing w:before="0" w:line="240" w:lineRule="auto"/>
      </w:pPr>
      <w:r>
        <w:separator/>
      </w:r>
    </w:p>
  </w:endnote>
  <w:endnote w:type="continuationSeparator" w:id="0">
    <w:p w:rsidR="008923BC" w:rsidRDefault="008923BC" w:rsidP="00A26D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3BC" w:rsidRDefault="008923BC" w:rsidP="00A26DEA">
      <w:pPr>
        <w:spacing w:before="0" w:line="240" w:lineRule="auto"/>
      </w:pPr>
      <w:r>
        <w:separator/>
      </w:r>
    </w:p>
  </w:footnote>
  <w:footnote w:type="continuationSeparator" w:id="0">
    <w:p w:rsidR="008923BC" w:rsidRDefault="008923BC" w:rsidP="00A26DE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A1D"/>
    <w:multiLevelType w:val="hybridMultilevel"/>
    <w:tmpl w:val="AC469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B1C38"/>
    <w:multiLevelType w:val="hybridMultilevel"/>
    <w:tmpl w:val="8B803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415E"/>
    <w:multiLevelType w:val="hybridMultilevel"/>
    <w:tmpl w:val="10481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7"/>
    <w:rsid w:val="000B719E"/>
    <w:rsid w:val="002336BF"/>
    <w:rsid w:val="00642D7C"/>
    <w:rsid w:val="00726764"/>
    <w:rsid w:val="007F5BEF"/>
    <w:rsid w:val="008923BC"/>
    <w:rsid w:val="00A26DEA"/>
    <w:rsid w:val="00A35ED7"/>
    <w:rsid w:val="00A86339"/>
    <w:rsid w:val="00D31746"/>
    <w:rsid w:val="00E573C1"/>
    <w:rsid w:val="00F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7D3C"/>
  <w15:chartTrackingRefBased/>
  <w15:docId w15:val="{652CA865-114C-40EE-A066-BC84345B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ED7"/>
    <w:pPr>
      <w:spacing w:before="0" w:line="240" w:lineRule="auto"/>
      <w:jc w:val="left"/>
    </w:pPr>
    <w:rPr>
      <w:rFonts w:ascii="Cambria" w:hAnsi="Cambr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BEF"/>
    <w:pPr>
      <w:spacing w:before="0" w:after="200" w:line="276" w:lineRule="auto"/>
      <w:ind w:left="720"/>
      <w:contextualSpacing/>
      <w:jc w:val="left"/>
    </w:pPr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42D7C"/>
    <w:pPr>
      <w:spacing w:before="0" w:line="240" w:lineRule="auto"/>
      <w:jc w:val="left"/>
    </w:pPr>
    <w:rPr>
      <w:rFonts w:ascii="Cambria" w:hAnsi="Cambr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DE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EA"/>
  </w:style>
  <w:style w:type="paragraph" w:styleId="Footer">
    <w:name w:val="footer"/>
    <w:basedOn w:val="Normal"/>
    <w:link w:val="FooterChar"/>
    <w:uiPriority w:val="99"/>
    <w:unhideWhenUsed/>
    <w:rsid w:val="00A26DE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4</cp:revision>
  <dcterms:created xsi:type="dcterms:W3CDTF">2018-09-08T03:46:00Z</dcterms:created>
  <dcterms:modified xsi:type="dcterms:W3CDTF">2018-09-08T07:50:00Z</dcterms:modified>
</cp:coreProperties>
</file>