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92A9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4"/>
          <w:szCs w:val="24"/>
        </w:rPr>
      </w:pPr>
    </w:p>
    <w:p w14:paraId="40F33101" w14:textId="64980BFF" w:rsidR="00DF1A78" w:rsidRPr="00A067F1" w:rsidRDefault="00A067F1" w:rsidP="00A067F1">
      <w:pPr>
        <w:pStyle w:val="Default"/>
        <w:rPr>
          <w:rFonts w:ascii="Arial Black" w:hAnsi="Arial Black"/>
          <w:sz w:val="36"/>
          <w:szCs w:val="36"/>
        </w:rPr>
      </w:pPr>
      <w:r w:rsidRPr="00A067F1">
        <w:rPr>
          <w:rFonts w:ascii="Trebuchet MS" w:hAnsi="Trebuchet MS" w:cs="Trebuchet MS"/>
        </w:rPr>
        <w:t xml:space="preserve"> </w:t>
      </w:r>
      <w:r w:rsidRPr="00A067F1">
        <w:rPr>
          <w:rFonts w:ascii="Arial Black" w:hAnsi="Arial Black" w:cs="Trebuchet MS"/>
          <w:sz w:val="36"/>
          <w:szCs w:val="36"/>
        </w:rPr>
        <w:t>MONITORING ANESTHETIC DEPTH</w:t>
      </w:r>
    </w:p>
    <w:p w14:paraId="748FD718" w14:textId="5835311F" w:rsidR="00A067F1" w:rsidRDefault="00A067F1" w:rsidP="00DF1A78">
      <w:pPr>
        <w:pStyle w:val="Default"/>
      </w:pPr>
      <w:r>
        <w:t>Table 1: Table showing depths of Anaesthesia</w:t>
      </w:r>
    </w:p>
    <w:tbl>
      <w:tblPr>
        <w:tblW w:w="9289" w:type="dxa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976"/>
        <w:gridCol w:w="3686"/>
      </w:tblGrid>
      <w:tr w:rsidR="00DF1A78" w14:paraId="0E9E87B5" w14:textId="77777777" w:rsidTr="00A067F1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FF"/>
          </w:tcPr>
          <w:p w14:paraId="4CABD1FF" w14:textId="67105206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76A40D48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</w:tr>
      <w:tr w:rsidR="00DF1A78" w14:paraId="384A420D" w14:textId="77777777" w:rsidTr="00A067F1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C8EAAA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DF79A4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Inducement, excitement, pupils constricted, voluntary struggling </w:t>
            </w:r>
          </w:p>
        </w:tc>
      </w:tr>
      <w:tr w:rsidR="00DF1A78" w14:paraId="1DEE6819" w14:textId="77777777" w:rsidTr="00A067F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D4AC6A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14:paraId="60E7211E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Obtunded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reflexes, pupil diameters start to dilate, still excited, involuntary struggling </w:t>
            </w:r>
          </w:p>
        </w:tc>
      </w:tr>
      <w:tr w:rsidR="00DF1A78" w14:paraId="1A75767B" w14:textId="77777777" w:rsidTr="00A067F1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1C45A5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7DA8BE7A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Planes 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4DA051F8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three planes- light, medium, and deep </w:t>
            </w:r>
          </w:p>
        </w:tc>
      </w:tr>
      <w:tr w:rsidR="00DF1A78" w14:paraId="57BF5746" w14:textId="77777777" w:rsidTr="00A067F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4F08EE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Light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164770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decreased reflexes, pupils constricted, brisk palpebral reflex, corneal reflex, absence of swallowing reflex, lacrimation still present, no involuntary muscle movement. </w:t>
            </w:r>
          </w:p>
        </w:tc>
      </w:tr>
      <w:tr w:rsidR="00DF1A78" w14:paraId="6137CB03" w14:textId="77777777" w:rsidTr="00A067F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83EC1F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Medium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065D57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Ideal plane for most invasive procedures, pupils dilated, loss of pain, loss of palpebral reflex, corneal reflexes present. </w:t>
            </w:r>
          </w:p>
        </w:tc>
      </w:tr>
      <w:tr w:rsidR="00DF1A78" w14:paraId="64D8E672" w14:textId="77777777" w:rsidTr="00A067F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742E66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Deep (early overdose)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24BFA4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depression, severe muscle relaxation, bradycardia, no reflexes (palpebral, corneal), pupils dilated </w:t>
            </w:r>
          </w:p>
        </w:tc>
      </w:tr>
      <w:tr w:rsidR="00DF1A78" w14:paraId="47120161" w14:textId="77777777" w:rsidTr="00A067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485" w14:textId="77777777" w:rsidR="00DF1A78" w:rsidRDefault="00DF1A7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A1CBBD" w14:textId="77777777" w:rsidR="00DF1A78" w:rsidRDefault="00DF1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Very deep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anesthesia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Respiration ceases, cardiovascular function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depresses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death ensues immediately. </w:t>
            </w:r>
          </w:p>
        </w:tc>
      </w:tr>
    </w:tbl>
    <w:p w14:paraId="508AA4F7" w14:textId="3CA82DB0" w:rsidR="0062457D" w:rsidRDefault="0062457D"/>
    <w:p w14:paraId="6B5A22CE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4"/>
          <w:szCs w:val="24"/>
        </w:rPr>
      </w:pPr>
    </w:p>
    <w:p w14:paraId="7BF629E6" w14:textId="77777777" w:rsidR="00A067F1" w:rsidRPr="00A067F1" w:rsidRDefault="00A067F1" w:rsidP="00A067F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Relating changes of reflexes to </w:t>
      </w:r>
      <w:proofErr w:type="spellStart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>anesthetic</w:t>
      </w:r>
      <w:proofErr w:type="spellEnd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depth </w:t>
      </w:r>
    </w:p>
    <w:p w14:paraId="2DB26081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Palpebral reflex: varies between species. Dogs may have no reflex at adequate surgical depth although complete loss in horses indicates moderately deep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2D09C2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Corneal reflex: does not disappear until deep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. Should always be present </w:t>
      </w:r>
    </w:p>
    <w:p w14:paraId="6DDC2998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Nystagmus: usually indication of excitement and light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. However, dissociative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anesthetics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(e.g., Ketamine) cause nystagmus at moderate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anesthetic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depth. In horses, central stimulation induced by severe hypoxia or hypercapnia also causes this </w:t>
      </w:r>
      <w:proofErr w:type="gram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phenomenon, and</w:t>
      </w:r>
      <w:proofErr w:type="gram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should not be confused with light plane of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as animals are perishing! </w:t>
      </w:r>
    </w:p>
    <w:p w14:paraId="3234AF6B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Lacrimation: Parasympathetic stimulation, usually signs of light plane of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3A77CF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Medioventral eye ball position: the most desirable position in most species with the exception in horses (central) </w:t>
      </w:r>
    </w:p>
    <w:p w14:paraId="2013152C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Jaw tone: moderate to </w:t>
      </w:r>
      <w:proofErr w:type="gram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loose</w:t>
      </w:r>
      <w:proofErr w:type="gram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, most desirable </w:t>
      </w:r>
    </w:p>
    <w:p w14:paraId="171FEBB7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A27DD5" w14:textId="77777777" w:rsidR="00A067F1" w:rsidRPr="00A067F1" w:rsidRDefault="00A067F1" w:rsidP="00A067F1">
      <w:pPr>
        <w:pageBreakBefore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Most Reliable Signs of </w:t>
      </w:r>
      <w:proofErr w:type="spellStart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>Anesthetic</w:t>
      </w:r>
      <w:proofErr w:type="spellEnd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Depth </w:t>
      </w:r>
    </w:p>
    <w:p w14:paraId="7AC2309D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Gross purposeful movement </w:t>
      </w:r>
    </w:p>
    <w:p w14:paraId="06CFE7E2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Reflex movement in response to stimulation </w:t>
      </w:r>
    </w:p>
    <w:p w14:paraId="70FF6B7E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Immediate hemodynamic response to stimulation; sudden marked increase in heart rate or blood pressure. </w:t>
      </w:r>
    </w:p>
    <w:p w14:paraId="11CBA8ED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Immediate respiratory response to stimulation; sudden marked increase in respiratory rate or depth of breathing. </w:t>
      </w:r>
    </w:p>
    <w:p w14:paraId="4D1C5228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Response to stimulation prior to actual incision (such as clipping, surgical preparation, drape, clamps). </w:t>
      </w:r>
    </w:p>
    <w:p w14:paraId="52889C00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5932D" w14:textId="77777777" w:rsidR="00A067F1" w:rsidRPr="00A067F1" w:rsidRDefault="00A067F1" w:rsidP="00A067F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Reliable Signs of </w:t>
      </w:r>
      <w:proofErr w:type="spellStart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>Anesthetic</w:t>
      </w:r>
      <w:proofErr w:type="spellEnd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Depth </w:t>
      </w:r>
    </w:p>
    <w:p w14:paraId="657C03C1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History of vaporizer setting </w:t>
      </w:r>
    </w:p>
    <w:p w14:paraId="61A8FE38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Muscle tone (e.g. jaw tone) </w:t>
      </w:r>
    </w:p>
    <w:p w14:paraId="2B2D94E5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Pupillary light reflex </w:t>
      </w:r>
    </w:p>
    <w:p w14:paraId="0EB5D3E9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Palpebral reflex </w:t>
      </w:r>
    </w:p>
    <w:p w14:paraId="708F4664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Corneal reflex </w:t>
      </w:r>
    </w:p>
    <w:p w14:paraId="438C65BC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>• Moist cornea (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lacrimination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or tears) </w:t>
      </w:r>
    </w:p>
    <w:p w14:paraId="7C27BD6D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Position of the eyeball </w:t>
      </w:r>
    </w:p>
    <w:p w14:paraId="1B9B0087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46FED52" w14:textId="77777777" w:rsidR="00A067F1" w:rsidRPr="00A067F1" w:rsidRDefault="00A067F1" w:rsidP="00A067F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Less Reliable Signs of </w:t>
      </w:r>
      <w:proofErr w:type="spellStart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>Anesthetic</w:t>
      </w:r>
      <w:proofErr w:type="spellEnd"/>
      <w:r w:rsidRPr="00A06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Depth </w:t>
      </w:r>
    </w:p>
    <w:p w14:paraId="74F0380E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Heart Rate: may increase or decrease with increased depth of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anesthetic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plane. At deep plane it may accompany bradycardia, but also severe cardiovascular depression may increase heart rate to compensate for fall in stroke volume. (differentiate from noxious stimulation induced increase; less marked in changes). </w:t>
      </w:r>
    </w:p>
    <w:p w14:paraId="3EA3660D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Respiration rate: may increase or decrease with deepening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. At deep plane, it may accompany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apnea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, but also may initiate a rapid shallow breath following a period of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apnea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as a compensation. (</w:t>
      </w:r>
      <w:proofErr w:type="gram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similar to</w:t>
      </w:r>
      <w:proofErr w:type="gram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hemodynamics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, fall in tidal volume tends to increase respiration rate.) </w:t>
      </w:r>
    </w:p>
    <w:p w14:paraId="1D8EC908" w14:textId="77777777" w:rsidR="00A067F1" w:rsidRPr="00A067F1" w:rsidRDefault="00A067F1" w:rsidP="00A067F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• Blood pressure is </w:t>
      </w:r>
      <w:proofErr w:type="gram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similar to</w:t>
      </w:r>
      <w:proofErr w:type="gram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heart rate, but probably more reliable. In general, the volatile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anesthetics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; halothane, isoflurane, sevoflurane, and desflurane produce a dose-dependent decrease in arterial blood pressure and many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anesthetists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 use this depression to assess the depth of </w:t>
      </w:r>
      <w:proofErr w:type="spellStart"/>
      <w:r w:rsidRPr="00A067F1">
        <w:rPr>
          <w:rFonts w:ascii="Times New Roman" w:hAnsi="Times New Roman" w:cs="Times New Roman"/>
          <w:color w:val="000000"/>
          <w:sz w:val="28"/>
          <w:szCs w:val="28"/>
        </w:rPr>
        <w:t>anesthesia</w:t>
      </w:r>
      <w:proofErr w:type="spellEnd"/>
      <w:r w:rsidRPr="00A067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AEDA06B" w14:textId="15E8B466" w:rsidR="00A067F1" w:rsidRDefault="00A067F1"/>
    <w:p w14:paraId="1B5D5764" w14:textId="66EE62DB" w:rsidR="005879EB" w:rsidRDefault="005879EB"/>
    <w:p w14:paraId="625348FE" w14:textId="53505EA1" w:rsidR="005879EB" w:rsidRDefault="005879EB">
      <w:r>
        <w:t xml:space="preserve">Taken from= </w:t>
      </w:r>
      <w:r w:rsidRPr="005879EB">
        <w:t>https://instruction.cvhs.okstate.edu/vmed5412/pdf/15AnestheticMonitoring2006.pdf</w:t>
      </w:r>
      <w:bookmarkStart w:id="0" w:name="_GoBack"/>
      <w:bookmarkEnd w:id="0"/>
    </w:p>
    <w:sectPr w:rsidR="005879EB" w:rsidSect="00A06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8"/>
    <w:rsid w:val="005879EB"/>
    <w:rsid w:val="0062457D"/>
    <w:rsid w:val="00A067F1"/>
    <w:rsid w:val="00D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DECE"/>
  <w15:chartTrackingRefBased/>
  <w15:docId w15:val="{207DF2A0-C422-456D-943E-D8B8E7F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1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1</cp:revision>
  <dcterms:created xsi:type="dcterms:W3CDTF">2018-10-14T22:38:00Z</dcterms:created>
  <dcterms:modified xsi:type="dcterms:W3CDTF">2018-10-14T23:04:00Z</dcterms:modified>
</cp:coreProperties>
</file>