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"/>
        <w:tblpPr w:leftFromText="180" w:rightFromText="180" w:vertAnchor="text" w:horzAnchor="page" w:tblpX="123" w:tblpY="165"/>
        <w:tblW w:w="15560" w:type="dxa"/>
        <w:tblLayout w:type="fixed"/>
        <w:tblLook w:val="04A0" w:firstRow="1" w:lastRow="0" w:firstColumn="1" w:lastColumn="0" w:noHBand="0" w:noVBand="1"/>
      </w:tblPr>
      <w:tblGrid>
        <w:gridCol w:w="1880"/>
        <w:gridCol w:w="1540"/>
        <w:gridCol w:w="1530"/>
        <w:gridCol w:w="1710"/>
        <w:gridCol w:w="2060"/>
        <w:gridCol w:w="1350"/>
        <w:gridCol w:w="2349"/>
        <w:gridCol w:w="1257"/>
        <w:gridCol w:w="1884"/>
      </w:tblGrid>
      <w:tr w:rsidR="006C345E" w:rsidRPr="006C345E" w14:paraId="17455055" w14:textId="77777777" w:rsidTr="003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0" w:type="dxa"/>
            <w:hideMark/>
          </w:tcPr>
          <w:p w14:paraId="2696D985" w14:textId="77777777" w:rsidR="006C345E" w:rsidRPr="006C345E" w:rsidRDefault="006C345E" w:rsidP="006C345E">
            <w:pPr>
              <w:jc w:val="center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Drug name</w:t>
            </w:r>
          </w:p>
        </w:tc>
        <w:tc>
          <w:tcPr>
            <w:tcW w:w="1540" w:type="dxa"/>
            <w:hideMark/>
          </w:tcPr>
          <w:p w14:paraId="04239810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Category</w:t>
            </w:r>
          </w:p>
        </w:tc>
        <w:tc>
          <w:tcPr>
            <w:tcW w:w="1530" w:type="dxa"/>
            <w:hideMark/>
          </w:tcPr>
          <w:p w14:paraId="648D61FF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Use</w:t>
            </w:r>
          </w:p>
        </w:tc>
        <w:tc>
          <w:tcPr>
            <w:tcW w:w="1710" w:type="dxa"/>
            <w:hideMark/>
          </w:tcPr>
          <w:p w14:paraId="1EF558B8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MOA</w:t>
            </w:r>
          </w:p>
        </w:tc>
        <w:tc>
          <w:tcPr>
            <w:tcW w:w="2060" w:type="dxa"/>
            <w:hideMark/>
          </w:tcPr>
          <w:p w14:paraId="45593F98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Dose</w:t>
            </w:r>
          </w:p>
        </w:tc>
        <w:tc>
          <w:tcPr>
            <w:tcW w:w="1350" w:type="dxa"/>
            <w:hideMark/>
          </w:tcPr>
          <w:p w14:paraId="0BE97F44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Method of administration</w:t>
            </w:r>
          </w:p>
        </w:tc>
        <w:tc>
          <w:tcPr>
            <w:tcW w:w="2349" w:type="dxa"/>
            <w:hideMark/>
          </w:tcPr>
          <w:p w14:paraId="17C40D67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Side Effects</w:t>
            </w:r>
          </w:p>
        </w:tc>
        <w:tc>
          <w:tcPr>
            <w:tcW w:w="1257" w:type="dxa"/>
            <w:hideMark/>
          </w:tcPr>
          <w:p w14:paraId="5742D6A6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Withdrawal times</w:t>
            </w:r>
          </w:p>
        </w:tc>
        <w:tc>
          <w:tcPr>
            <w:tcW w:w="1884" w:type="dxa"/>
            <w:hideMark/>
          </w:tcPr>
          <w:p w14:paraId="3A317AEB" w14:textId="77777777" w:rsidR="006C345E" w:rsidRPr="006C345E" w:rsidRDefault="006C345E" w:rsidP="006C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Precautions</w:t>
            </w:r>
          </w:p>
        </w:tc>
      </w:tr>
      <w:tr w:rsidR="006C345E" w:rsidRPr="006C345E" w14:paraId="498DB29D" w14:textId="77777777" w:rsidTr="003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14:paraId="592780E1" w14:textId="5CD1A2B0" w:rsidR="006C345E" w:rsidRPr="006C345E" w:rsidRDefault="00301D32" w:rsidP="006C345E">
            <w:pPr>
              <w:jc w:val="center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3BC859" wp14:editId="7F34336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598805</wp:posOffset>
                  </wp:positionV>
                  <wp:extent cx="1110615" cy="253555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118" y="21421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11578" r="28133" b="35567"/>
                          <a:stretch/>
                        </pic:blipFill>
                        <pic:spPr bwMode="auto">
                          <a:xfrm>
                            <a:off x="0" y="0"/>
                            <a:ext cx="1110615" cy="253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45E" w:rsidRPr="006C345E">
              <w:rPr>
                <w:rFonts w:eastAsia="Times New Roman" w:cstheme="minorHAnsi"/>
                <w:color w:val="000000"/>
              </w:rPr>
              <w:t>Thiopental/ T</w:t>
            </w:r>
            <w:r w:rsidR="000A5F59">
              <w:rPr>
                <w:noProof/>
              </w:rPr>
              <w:t xml:space="preserve"> </w:t>
            </w:r>
            <w:proofErr w:type="spellStart"/>
            <w:r w:rsidR="006C345E" w:rsidRPr="006C345E">
              <w:rPr>
                <w:rFonts w:eastAsia="Times New Roman" w:cstheme="minorHAnsi"/>
                <w:color w:val="000000"/>
              </w:rPr>
              <w:t>iopental</w:t>
            </w:r>
            <w:proofErr w:type="spellEnd"/>
            <w:r w:rsidR="006C345E" w:rsidRPr="006C345E">
              <w:rPr>
                <w:rFonts w:eastAsia="Times New Roman" w:cstheme="minorHAnsi"/>
                <w:color w:val="000000"/>
              </w:rPr>
              <w:t xml:space="preserve"> 1g </w:t>
            </w:r>
          </w:p>
        </w:tc>
        <w:tc>
          <w:tcPr>
            <w:tcW w:w="1540" w:type="dxa"/>
            <w:hideMark/>
          </w:tcPr>
          <w:p w14:paraId="5B8813D3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6C345E">
              <w:rPr>
                <w:rFonts w:eastAsia="Times New Roman" w:cstheme="minorHAnsi"/>
                <w:color w:val="000000"/>
              </w:rPr>
              <w:t>Ultra Short</w:t>
            </w:r>
            <w:proofErr w:type="spellEnd"/>
            <w:r w:rsidRPr="006C345E">
              <w:rPr>
                <w:rFonts w:eastAsia="Times New Roman" w:cstheme="minorHAnsi"/>
                <w:color w:val="000000"/>
              </w:rPr>
              <w:t xml:space="preserve"> acting </w:t>
            </w:r>
            <w:proofErr w:type="spellStart"/>
            <w:r w:rsidRPr="006C345E">
              <w:rPr>
                <w:rFonts w:eastAsia="Times New Roman" w:cstheme="minorHAnsi"/>
                <w:color w:val="000000"/>
              </w:rPr>
              <w:t>thiobarbituate</w:t>
            </w:r>
            <w:proofErr w:type="spellEnd"/>
          </w:p>
          <w:p w14:paraId="0E6D6890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65106CD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 xml:space="preserve">General </w:t>
            </w:r>
            <w:proofErr w:type="spellStart"/>
            <w:r w:rsidRPr="006C345E">
              <w:rPr>
                <w:rFonts w:eastAsia="Times New Roman" w:cstheme="minorHAnsi"/>
                <w:color w:val="000000"/>
              </w:rPr>
              <w:t>anaesthesia</w:t>
            </w:r>
            <w:proofErr w:type="spellEnd"/>
          </w:p>
          <w:p w14:paraId="3D7E9993" w14:textId="1288A585" w:rsidR="006C345E" w:rsidRPr="006C345E" w:rsidRDefault="006C345E" w:rsidP="006C345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  <w:r w:rsidRPr="006C345E">
              <w:rPr>
                <w:rFonts w:eastAsia="Times New Roman" w:cstheme="minorHAnsi"/>
              </w:rPr>
              <w:br/>
            </w:r>
          </w:p>
        </w:tc>
        <w:tc>
          <w:tcPr>
            <w:tcW w:w="1530" w:type="dxa"/>
            <w:hideMark/>
          </w:tcPr>
          <w:p w14:paraId="3CD67199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Anesthesia induction/ anesthesia for short proced</w:t>
            </w:r>
            <w:bookmarkStart w:id="0" w:name="_GoBack"/>
            <w:bookmarkEnd w:id="0"/>
            <w:r w:rsidRPr="006C345E">
              <w:rPr>
                <w:rFonts w:eastAsia="Times New Roman" w:cstheme="minorHAnsi"/>
                <w:color w:val="000000"/>
              </w:rPr>
              <w:t>ures</w:t>
            </w:r>
          </w:p>
        </w:tc>
        <w:tc>
          <w:tcPr>
            <w:tcW w:w="1710" w:type="dxa"/>
            <w:hideMark/>
          </w:tcPr>
          <w:p w14:paraId="09D0C238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Lipid soluble so rapidly enter CNS produce profound hypnosis and anesthesia </w:t>
            </w:r>
          </w:p>
        </w:tc>
        <w:tc>
          <w:tcPr>
            <w:tcW w:w="2060" w:type="dxa"/>
            <w:hideMark/>
          </w:tcPr>
          <w:p w14:paraId="28B78456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Cattle:</w:t>
            </w:r>
            <w:r w:rsidRPr="006C345E">
              <w:rPr>
                <w:rFonts w:eastAsia="Times New Roman" w:cstheme="minorHAnsi"/>
                <w:color w:val="000000"/>
              </w:rPr>
              <w:t xml:space="preserve"> 8.14-15.4mg/kg IV </w:t>
            </w:r>
          </w:p>
          <w:p w14:paraId="235C8E3E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30C9A070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Horses:</w:t>
            </w:r>
            <w:r w:rsidRPr="006C345E">
              <w:rPr>
                <w:rFonts w:eastAsia="Times New Roman" w:cstheme="minorHAnsi"/>
                <w:color w:val="000000"/>
              </w:rPr>
              <w:t xml:space="preserve"> 6-12 mg/kg IV slowly</w:t>
            </w:r>
          </w:p>
          <w:p w14:paraId="421CC034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64066AB9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Swine:</w:t>
            </w:r>
            <w:r w:rsidRPr="006C345E">
              <w:rPr>
                <w:rFonts w:eastAsia="Times New Roman" w:cstheme="minorHAnsi"/>
                <w:color w:val="000000"/>
              </w:rPr>
              <w:t xml:space="preserve"> 5.5 -11 mg/kg IV</w:t>
            </w:r>
          </w:p>
          <w:p w14:paraId="65392142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5BBDC9F3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Sheep:</w:t>
            </w:r>
            <w:r w:rsidRPr="006C345E">
              <w:rPr>
                <w:rFonts w:eastAsia="Times New Roman" w:cstheme="minorHAnsi"/>
                <w:color w:val="000000"/>
              </w:rPr>
              <w:t xml:space="preserve"> 9.9 to 15 mg/kg IV</w:t>
            </w:r>
          </w:p>
          <w:p w14:paraId="1AF95B7A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Goats:</w:t>
            </w:r>
            <w:r w:rsidRPr="006C345E">
              <w:rPr>
                <w:rFonts w:eastAsia="Times New Roman" w:cstheme="minorHAnsi"/>
                <w:color w:val="000000"/>
              </w:rPr>
              <w:t xml:space="preserve"> 20 to 22 mg/kg IV</w:t>
            </w:r>
          </w:p>
        </w:tc>
        <w:tc>
          <w:tcPr>
            <w:tcW w:w="1350" w:type="dxa"/>
            <w:hideMark/>
          </w:tcPr>
          <w:p w14:paraId="6B3715E2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IV </w:t>
            </w:r>
          </w:p>
        </w:tc>
        <w:tc>
          <w:tcPr>
            <w:tcW w:w="2349" w:type="dxa"/>
            <w:hideMark/>
          </w:tcPr>
          <w:p w14:paraId="3B4F72A4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Horses:</w:t>
            </w:r>
            <w:r w:rsidRPr="006C345E">
              <w:rPr>
                <w:rFonts w:eastAsia="Times New Roman" w:cstheme="minorHAnsi"/>
                <w:color w:val="000000"/>
              </w:rPr>
              <w:t xml:space="preserve"> excitement and severe </w:t>
            </w:r>
            <w:proofErr w:type="spellStart"/>
            <w:proofErr w:type="gramStart"/>
            <w:r w:rsidRPr="006C345E">
              <w:rPr>
                <w:rFonts w:eastAsia="Times New Roman" w:cstheme="minorHAnsi"/>
                <w:color w:val="000000"/>
              </w:rPr>
              <w:t>ataxia,transient</w:t>
            </w:r>
            <w:proofErr w:type="spellEnd"/>
            <w:proofErr w:type="gramEnd"/>
            <w:r w:rsidRPr="006C345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345E">
              <w:rPr>
                <w:rFonts w:eastAsia="Times New Roman" w:cstheme="minorHAnsi"/>
                <w:color w:val="000000"/>
              </w:rPr>
              <w:t>leukopenia,hyperglycemia,apnea,moderate</w:t>
            </w:r>
            <w:proofErr w:type="spellEnd"/>
            <w:r w:rsidRPr="006C345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345E">
              <w:rPr>
                <w:rFonts w:eastAsia="Times New Roman" w:cstheme="minorHAnsi"/>
                <w:color w:val="000000"/>
              </w:rPr>
              <w:t>tachycardia,mild</w:t>
            </w:r>
            <w:proofErr w:type="spellEnd"/>
            <w:r w:rsidRPr="006C345E">
              <w:rPr>
                <w:rFonts w:eastAsia="Times New Roman" w:cstheme="minorHAnsi"/>
                <w:color w:val="000000"/>
              </w:rPr>
              <w:t xml:space="preserve"> respiratory acidosis</w:t>
            </w:r>
          </w:p>
          <w:p w14:paraId="71EDDB03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4CF7EF56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Intracarotid injections can cause CNS toxicity and tissue damage.</w:t>
            </w:r>
          </w:p>
          <w:p w14:paraId="5EA589C9" w14:textId="77777777" w:rsidR="006C345E" w:rsidRPr="006C345E" w:rsidRDefault="006C345E" w:rsidP="006C345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0FA3D22B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b/>
                <w:bCs/>
                <w:color w:val="000000"/>
              </w:rPr>
              <w:t>Dogs:</w:t>
            </w:r>
            <w:r w:rsidRPr="006C345E">
              <w:rPr>
                <w:rFonts w:eastAsia="Times New Roman" w:cstheme="minorHAnsi"/>
                <w:color w:val="000000"/>
              </w:rPr>
              <w:t xml:space="preserve"> ventricular bigeminy</w:t>
            </w:r>
          </w:p>
          <w:p w14:paraId="1AC26F8D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303E22FB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Cats: apnea</w:t>
            </w:r>
          </w:p>
        </w:tc>
        <w:tc>
          <w:tcPr>
            <w:tcW w:w="1257" w:type="dxa"/>
            <w:hideMark/>
          </w:tcPr>
          <w:p w14:paraId="5AD0B7D8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884" w:type="dxa"/>
            <w:hideMark/>
          </w:tcPr>
          <w:p w14:paraId="1429D04F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>Avoid extravasation, intracarotid and intra-arterial injections</w:t>
            </w:r>
          </w:p>
          <w:p w14:paraId="23291D53" w14:textId="77777777" w:rsidR="006C345E" w:rsidRPr="006C345E" w:rsidRDefault="006C345E" w:rsidP="006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7B56BC96" w14:textId="77777777" w:rsidR="006C345E" w:rsidRPr="006C345E" w:rsidRDefault="006C345E" w:rsidP="006C3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C345E">
              <w:rPr>
                <w:rFonts w:eastAsia="Times New Roman" w:cstheme="minorHAnsi"/>
                <w:color w:val="000000"/>
              </w:rPr>
              <w:t xml:space="preserve">Avoid too rapid IV </w:t>
            </w:r>
            <w:proofErr w:type="spellStart"/>
            <w:proofErr w:type="gramStart"/>
            <w:r w:rsidRPr="006C345E">
              <w:rPr>
                <w:rFonts w:eastAsia="Times New Roman" w:cstheme="minorHAnsi"/>
                <w:color w:val="000000"/>
              </w:rPr>
              <w:t>administration;can</w:t>
            </w:r>
            <w:proofErr w:type="spellEnd"/>
            <w:proofErr w:type="gramEnd"/>
            <w:r w:rsidRPr="006C345E">
              <w:rPr>
                <w:rFonts w:eastAsia="Times New Roman" w:cstheme="minorHAnsi"/>
                <w:color w:val="000000"/>
              </w:rPr>
              <w:t xml:space="preserve"> cause vascular dilation and hypoglycemia</w:t>
            </w:r>
          </w:p>
        </w:tc>
      </w:tr>
    </w:tbl>
    <w:p w14:paraId="01A4711F" w14:textId="4EEC5DA7" w:rsidR="006C345E" w:rsidRPr="006C345E" w:rsidRDefault="006C345E" w:rsidP="006C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081EB" w14:textId="77777777" w:rsidR="006C345E" w:rsidRDefault="006C345E"/>
    <w:sectPr w:rsidR="006C345E" w:rsidSect="006C34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5E"/>
    <w:rsid w:val="000A5F59"/>
    <w:rsid w:val="00301D32"/>
    <w:rsid w:val="006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1EFA"/>
  <w15:chartTrackingRefBased/>
  <w15:docId w15:val="{5C120EF1-7825-492A-9FCD-A6805FC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">
    <w:name w:val="Grid Table 7 Colorful"/>
    <w:basedOn w:val="TableNormal"/>
    <w:uiPriority w:val="52"/>
    <w:rsid w:val="006C34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4056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2019-09-07T13:55:00Z</dcterms:created>
  <dcterms:modified xsi:type="dcterms:W3CDTF">2019-09-07T14:24:00Z</dcterms:modified>
</cp:coreProperties>
</file>