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78" w:tblpY="124"/>
        <w:tblW w:w="15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326"/>
        <w:gridCol w:w="2220"/>
        <w:gridCol w:w="1216"/>
        <w:gridCol w:w="2114"/>
        <w:gridCol w:w="1222"/>
        <w:gridCol w:w="1741"/>
        <w:gridCol w:w="1987"/>
        <w:gridCol w:w="2250"/>
      </w:tblGrid>
      <w:tr w:rsidR="000C28AA" w:rsidRPr="000C28AA" w14:paraId="097C1E01" w14:textId="77777777" w:rsidTr="000C28AA">
        <w:trPr>
          <w:trHeight w:val="360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564FD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Drug name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43A8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Category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066B6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Use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366C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MOA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B30F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Dose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F40E3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Method of administration</w:t>
            </w:r>
          </w:p>
          <w:p w14:paraId="00D8F04D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7776B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Side Effects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CF53F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Withdrawal times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97221" w14:textId="77777777" w:rsidR="000C28AA" w:rsidRPr="000C28AA" w:rsidRDefault="000C28AA" w:rsidP="000C28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Precautions</w:t>
            </w:r>
          </w:p>
        </w:tc>
      </w:tr>
      <w:tr w:rsidR="000C28AA" w:rsidRPr="000C28AA" w14:paraId="75A33488" w14:textId="77777777" w:rsidTr="000C28AA"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4EE7C" w14:textId="6D795CCC" w:rsidR="000C28AA" w:rsidRDefault="000C28AA" w:rsidP="000C28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bookmarkStart w:id="0" w:name="_GoBack"/>
            <w:r w:rsidRPr="000C28AA">
              <w:rPr>
                <w:rFonts w:eastAsia="Times New Roman" w:cstheme="minorHAnsi"/>
                <w:color w:val="000000"/>
              </w:rPr>
              <w:t xml:space="preserve">Dufaloxacin </w:t>
            </w:r>
            <w:bookmarkEnd w:id="0"/>
            <w:r w:rsidRPr="000C28AA">
              <w:rPr>
                <w:rFonts w:eastAsia="Times New Roman" w:cstheme="minorHAnsi"/>
                <w:color w:val="000000"/>
              </w:rPr>
              <w:t xml:space="preserve">10% </w:t>
            </w:r>
            <w:proofErr w:type="gramStart"/>
            <w:r w:rsidRPr="000C28AA">
              <w:rPr>
                <w:rFonts w:eastAsia="Times New Roman" w:cstheme="minorHAnsi"/>
                <w:color w:val="000000"/>
              </w:rPr>
              <w:t>( Enrofloxacin</w:t>
            </w:r>
            <w:proofErr w:type="gramEnd"/>
            <w:r w:rsidRPr="000C28AA">
              <w:rPr>
                <w:rFonts w:eastAsia="Times New Roman" w:cstheme="minorHAnsi"/>
                <w:color w:val="000000"/>
              </w:rPr>
              <w:t>)</w:t>
            </w:r>
          </w:p>
          <w:p w14:paraId="7997C0CF" w14:textId="63E9EB21" w:rsidR="009A77B1" w:rsidRPr="000C28AA" w:rsidRDefault="009A77B1" w:rsidP="000C28A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9349C3" wp14:editId="56CE652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438785</wp:posOffset>
                  </wp:positionV>
                  <wp:extent cx="890270" cy="1845945"/>
                  <wp:effectExtent l="0" t="0" r="5080" b="1905"/>
                  <wp:wrapTight wrapText="bothSides">
                    <wp:wrapPolygon edited="0">
                      <wp:start x="0" y="0"/>
                      <wp:lineTo x="0" y="21399"/>
                      <wp:lineTo x="21261" y="21399"/>
                      <wp:lineTo x="212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8" t="13506" r="28055" b="27500"/>
                          <a:stretch/>
                        </pic:blipFill>
                        <pic:spPr bwMode="auto">
                          <a:xfrm>
                            <a:off x="0" y="0"/>
                            <a:ext cx="890270" cy="184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84856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Antibiotics, quinolones </w:t>
            </w:r>
          </w:p>
          <w:p w14:paraId="211BE54F" w14:textId="77777777" w:rsidR="000C28AA" w:rsidRPr="000C28AA" w:rsidRDefault="000C28AA" w:rsidP="000C28AA">
            <w:pPr>
              <w:spacing w:after="24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lastRenderedPageBreak/>
              <w:br/>
            </w:r>
            <w:r w:rsidRPr="000C28AA">
              <w:rPr>
                <w:rFonts w:eastAsia="Times New Roman" w:cstheme="minorHAnsi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8C7EA" w14:textId="77777777" w:rsidR="000C28AA" w:rsidRPr="000C28AA" w:rsidRDefault="000C28AA" w:rsidP="000C28AA">
            <w:pPr>
              <w:shd w:val="clear" w:color="auto" w:fill="FFFFFF"/>
              <w:spacing w:before="100" w:after="0" w:line="240" w:lineRule="auto"/>
              <w:rPr>
                <w:rFonts w:eastAsia="Times New Roman" w:cstheme="minorHAnsi"/>
              </w:rPr>
            </w:pPr>
            <w:proofErr w:type="spellStart"/>
            <w:r w:rsidRPr="000C28AA">
              <w:rPr>
                <w:rFonts w:eastAsia="Times New Roman" w:cstheme="minorHAnsi"/>
                <w:color w:val="222222"/>
              </w:rPr>
              <w:lastRenderedPageBreak/>
              <w:t>elafloxacin</w:t>
            </w:r>
            <w:proofErr w:type="spellEnd"/>
            <w:r w:rsidRPr="000C28AA">
              <w:rPr>
                <w:rFonts w:eastAsia="Times New Roman" w:cstheme="minorHAnsi"/>
                <w:color w:val="222222"/>
              </w:rPr>
              <w:t xml:space="preserve"> is used to treat acute bacterial skin and skin structure infections caused by designated susceptible bacteria.</w:t>
            </w:r>
          </w:p>
          <w:p w14:paraId="0B5A290A" w14:textId="77777777" w:rsidR="000C28AA" w:rsidRPr="000C28AA" w:rsidRDefault="000C28AA" w:rsidP="000C28AA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222222"/>
              </w:rPr>
              <w:t>Susceptible bacteria are:</w:t>
            </w:r>
          </w:p>
          <w:p w14:paraId="1CE50D9F" w14:textId="77777777" w:rsidR="000C28AA" w:rsidRPr="000C28AA" w:rsidRDefault="000C28AA" w:rsidP="000C28AA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222222"/>
              </w:rPr>
              <w:t xml:space="preserve">Gram-positive organisms: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>Staphylococcus aureus</w:t>
            </w:r>
            <w:r w:rsidRPr="000C28AA">
              <w:rPr>
                <w:rFonts w:eastAsia="Times New Roman" w:cstheme="minorHAnsi"/>
                <w:color w:val="222222"/>
              </w:rPr>
              <w:t xml:space="preserve"> (including methicillin-resistant [MRSA] and methicillin-susceptible [MSSA] isolates),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 xml:space="preserve">Staphylococcus </w:t>
            </w:r>
            <w:proofErr w:type="spellStart"/>
            <w:r w:rsidRPr="000C28AA">
              <w:rPr>
                <w:rFonts w:eastAsia="Times New Roman" w:cstheme="minorHAnsi"/>
                <w:i/>
                <w:iCs/>
                <w:color w:val="222222"/>
              </w:rPr>
              <w:t>haemolyticus</w:t>
            </w:r>
            <w:proofErr w:type="spellEnd"/>
            <w:r w:rsidRPr="000C28AA">
              <w:rPr>
                <w:rFonts w:eastAsia="Times New Roman" w:cstheme="minorHAnsi"/>
                <w:color w:val="222222"/>
              </w:rPr>
              <w:t xml:space="preserve">,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 xml:space="preserve">Staphylococcus </w:t>
            </w:r>
            <w:proofErr w:type="spellStart"/>
            <w:r w:rsidRPr="000C28AA">
              <w:rPr>
                <w:rFonts w:eastAsia="Times New Roman" w:cstheme="minorHAnsi"/>
                <w:i/>
                <w:iCs/>
                <w:color w:val="222222"/>
              </w:rPr>
              <w:t>lugdunensis</w:t>
            </w:r>
            <w:proofErr w:type="spellEnd"/>
            <w:r w:rsidRPr="000C28AA">
              <w:rPr>
                <w:rFonts w:eastAsia="Times New Roman" w:cstheme="minorHAnsi"/>
                <w:color w:val="222222"/>
              </w:rPr>
              <w:t xml:space="preserve">,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>Streptococcus agalactiae</w:t>
            </w:r>
            <w:r w:rsidRPr="000C28AA">
              <w:rPr>
                <w:rFonts w:eastAsia="Times New Roman" w:cstheme="minorHAnsi"/>
                <w:color w:val="222222"/>
              </w:rPr>
              <w:t xml:space="preserve">,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 xml:space="preserve">Streptococcus </w:t>
            </w:r>
            <w:proofErr w:type="spellStart"/>
            <w:r w:rsidRPr="000C28AA">
              <w:rPr>
                <w:rFonts w:eastAsia="Times New Roman" w:cstheme="minorHAnsi"/>
                <w:i/>
                <w:iCs/>
                <w:color w:val="222222"/>
              </w:rPr>
              <w:t>anginosus</w:t>
            </w:r>
            <w:proofErr w:type="spellEnd"/>
            <w:r w:rsidRPr="000C28AA">
              <w:rPr>
                <w:rFonts w:eastAsia="Times New Roman" w:cstheme="minorHAnsi"/>
                <w:color w:val="222222"/>
              </w:rPr>
              <w:t xml:space="preserve"> group,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>Streptococcus pyogenes</w:t>
            </w:r>
            <w:r w:rsidRPr="000C28AA">
              <w:rPr>
                <w:rFonts w:eastAsia="Times New Roman" w:cstheme="minorHAnsi"/>
                <w:color w:val="222222"/>
              </w:rPr>
              <w:t xml:space="preserve">, and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>Enterococcus faecalis</w:t>
            </w:r>
          </w:p>
          <w:p w14:paraId="1A484DF4" w14:textId="77777777" w:rsidR="000C28AA" w:rsidRPr="000C28AA" w:rsidRDefault="000C28AA" w:rsidP="000C28AA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222222"/>
              </w:rPr>
              <w:t xml:space="preserve">Gram-negative organisms: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>Escherichia coli</w:t>
            </w:r>
            <w:r w:rsidRPr="000C28AA">
              <w:rPr>
                <w:rFonts w:eastAsia="Times New Roman" w:cstheme="minorHAnsi"/>
                <w:color w:val="222222"/>
              </w:rPr>
              <w:t xml:space="preserve">,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lastRenderedPageBreak/>
              <w:t>Enterobacter cloacae</w:t>
            </w:r>
            <w:r w:rsidRPr="000C28AA">
              <w:rPr>
                <w:rFonts w:eastAsia="Times New Roman" w:cstheme="minorHAnsi"/>
                <w:color w:val="222222"/>
              </w:rPr>
              <w:t xml:space="preserve">,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>Klebsiella pneumoniae</w:t>
            </w:r>
            <w:r w:rsidRPr="000C28AA">
              <w:rPr>
                <w:rFonts w:eastAsia="Times New Roman" w:cstheme="minorHAnsi"/>
                <w:color w:val="222222"/>
              </w:rPr>
              <w:t xml:space="preserve">, and </w:t>
            </w:r>
            <w:r w:rsidRPr="000C28AA">
              <w:rPr>
                <w:rFonts w:eastAsia="Times New Roman" w:cstheme="minorHAnsi"/>
                <w:i/>
                <w:iCs/>
                <w:color w:val="222222"/>
              </w:rPr>
              <w:t>Pseudomonas aeruginosa</w:t>
            </w:r>
            <w:r w:rsidRPr="000C28AA">
              <w:rPr>
                <w:rFonts w:eastAsia="Times New Roman" w:cstheme="minorHAnsi"/>
                <w:color w:val="222222"/>
              </w:rPr>
              <w:t>.</w:t>
            </w:r>
          </w:p>
          <w:p w14:paraId="62E33E2A" w14:textId="77777777" w:rsidR="000C28AA" w:rsidRPr="000C28AA" w:rsidRDefault="000C28AA" w:rsidP="000C28AA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222222"/>
              </w:rPr>
              <w:t>It has not been tested in pregnant women.</w:t>
            </w:r>
          </w:p>
          <w:p w14:paraId="42D4B7C3" w14:textId="77777777" w:rsidR="000C28AA" w:rsidRPr="000C28AA" w:rsidRDefault="000C28AA" w:rsidP="000C28AA">
            <w:pPr>
              <w:spacing w:after="24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  <w:r w:rsidRPr="000C28AA">
              <w:rPr>
                <w:rFonts w:eastAsia="Times New Roman" w:cstheme="minorHAnsi"/>
              </w:rPr>
              <w:br/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A79E5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lastRenderedPageBreak/>
              <w:t xml:space="preserve">Gastrointestinal and respiratory infections such as </w:t>
            </w:r>
            <w:proofErr w:type="spellStart"/>
            <w:r w:rsidRPr="000C28AA">
              <w:rPr>
                <w:rFonts w:eastAsia="Times New Roman" w:cstheme="minorHAnsi"/>
                <w:color w:val="000000"/>
              </w:rPr>
              <w:t>pasteurellosis</w:t>
            </w:r>
            <w:proofErr w:type="spellEnd"/>
            <w:r w:rsidRPr="000C28AA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0C28AA">
              <w:rPr>
                <w:rFonts w:eastAsia="Times New Roman" w:cstheme="minorHAnsi"/>
                <w:color w:val="000000"/>
              </w:rPr>
              <w:t>mycoplasmosis</w:t>
            </w:r>
            <w:proofErr w:type="spellEnd"/>
            <w:r w:rsidRPr="000C28AA">
              <w:rPr>
                <w:rFonts w:eastAsia="Times New Roman" w:cstheme="minorHAnsi"/>
                <w:color w:val="000000"/>
              </w:rPr>
              <w:t xml:space="preserve">, colibacillosis, </w:t>
            </w:r>
            <w:proofErr w:type="spellStart"/>
            <w:r w:rsidRPr="000C28AA">
              <w:rPr>
                <w:rFonts w:eastAsia="Times New Roman" w:cstheme="minorHAnsi"/>
                <w:color w:val="000000"/>
              </w:rPr>
              <w:t>colisepticemia</w:t>
            </w:r>
            <w:proofErr w:type="spellEnd"/>
            <w:r w:rsidRPr="000C28AA">
              <w:rPr>
                <w:rFonts w:eastAsia="Times New Roman" w:cstheme="minorHAnsi"/>
                <w:color w:val="000000"/>
              </w:rPr>
              <w:t xml:space="preserve"> and salmonellosis in non-dairy cattle and swine. Secondary bacterial infections </w:t>
            </w:r>
            <w:proofErr w:type="gramStart"/>
            <w:r w:rsidRPr="000C28AA">
              <w:rPr>
                <w:rFonts w:eastAsia="Times New Roman" w:cstheme="minorHAnsi"/>
                <w:color w:val="000000"/>
              </w:rPr>
              <w:t>during the course of</w:t>
            </w:r>
            <w:proofErr w:type="gramEnd"/>
            <w:r w:rsidRPr="000C28AA">
              <w:rPr>
                <w:rFonts w:eastAsia="Times New Roman" w:cstheme="minorHAnsi"/>
                <w:color w:val="000000"/>
              </w:rPr>
              <w:t xml:space="preserve"> viral disease, such as bovine respiratory disease complex.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34006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 xml:space="preserve">1 ml per 40 kg body weight per day for 3 days </w:t>
            </w:r>
            <w:proofErr w:type="gramStart"/>
            <w:r w:rsidRPr="000C28AA">
              <w:rPr>
                <w:rFonts w:eastAsia="Times New Roman" w:cstheme="minorHAnsi"/>
                <w:color w:val="000000"/>
              </w:rPr>
              <w:t>In</w:t>
            </w:r>
            <w:proofErr w:type="gramEnd"/>
            <w:r w:rsidRPr="000C28AA">
              <w:rPr>
                <w:rFonts w:eastAsia="Times New Roman" w:cstheme="minorHAnsi"/>
                <w:color w:val="000000"/>
              </w:rPr>
              <w:t xml:space="preserve"> severe cases of respiratory infections and </w:t>
            </w:r>
            <w:proofErr w:type="spellStart"/>
            <w:r w:rsidRPr="000C28AA">
              <w:rPr>
                <w:rFonts w:eastAsia="Times New Roman" w:cstheme="minorHAnsi"/>
                <w:color w:val="000000"/>
              </w:rPr>
              <w:t>salmonellosisup</w:t>
            </w:r>
            <w:proofErr w:type="spellEnd"/>
            <w:r w:rsidRPr="000C28AA">
              <w:rPr>
                <w:rFonts w:eastAsia="Times New Roman" w:cstheme="minorHAnsi"/>
                <w:color w:val="000000"/>
              </w:rPr>
              <w:t xml:space="preserve"> to 2 ml per 40 kg body weight per day for 3 days (swine) or 5 days (cattle) Do not use in animals producing milk for human consumption.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C0D82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subcutaneous (cattle) or intramuscular (swine) administration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EFA35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Hypersensitivity to quinolones, severe renal or hepatic impairment.</w:t>
            </w:r>
          </w:p>
          <w:p w14:paraId="35F1B61F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4E48833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 Injection site reactions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1298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28AA">
              <w:rPr>
                <w:rFonts w:eastAsia="Times New Roman" w:cstheme="minorHAnsi"/>
                <w:color w:val="000000"/>
              </w:rPr>
              <w:t>Meat (</w:t>
            </w:r>
            <w:r w:rsidRPr="000C28AA">
              <w:rPr>
                <w:rFonts w:eastAsia="Times New Roman" w:cstheme="minorHAnsi"/>
                <w:b/>
                <w:bCs/>
                <w:color w:val="000000"/>
              </w:rPr>
              <w:t>cattle and swine</w:t>
            </w:r>
            <w:r w:rsidRPr="000C28AA">
              <w:rPr>
                <w:rFonts w:eastAsia="Times New Roman" w:cstheme="minorHAnsi"/>
                <w:color w:val="000000"/>
              </w:rPr>
              <w:t>): 10 days</w:t>
            </w:r>
          </w:p>
          <w:p w14:paraId="1BE17328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E49C434" w14:textId="50244E6C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 xml:space="preserve"> Milk (cattle): 4 days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8B0CC" w14:textId="77777777" w:rsidR="000C28AA" w:rsidRPr="000C28AA" w:rsidRDefault="000C28AA" w:rsidP="000C28AA">
            <w:pPr>
              <w:spacing w:after="0" w:line="240" w:lineRule="auto"/>
              <w:rPr>
                <w:rFonts w:eastAsia="Times New Roman" w:cstheme="minorHAnsi"/>
              </w:rPr>
            </w:pPr>
            <w:r w:rsidRPr="000C28AA">
              <w:rPr>
                <w:rFonts w:eastAsia="Times New Roman" w:cstheme="minorHAnsi"/>
                <w:color w:val="000000"/>
              </w:rPr>
              <w:t>It is recommended that the susceptibility of the causative microorganisms is established before treatment is commenced. </w:t>
            </w:r>
          </w:p>
        </w:tc>
      </w:tr>
    </w:tbl>
    <w:p w14:paraId="7A2F08D3" w14:textId="77777777" w:rsidR="000C28AA" w:rsidRPr="000C28AA" w:rsidRDefault="000C28AA" w:rsidP="000C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53A7E" w14:textId="77777777" w:rsidR="000C28AA" w:rsidRDefault="000C28AA"/>
    <w:sectPr w:rsidR="000C28AA" w:rsidSect="000C28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AA"/>
    <w:rsid w:val="000C28AA"/>
    <w:rsid w:val="009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ECAA"/>
  <w15:chartTrackingRefBased/>
  <w15:docId w15:val="{4CA94026-FE29-400F-9622-D537CACC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72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1</cp:revision>
  <dcterms:created xsi:type="dcterms:W3CDTF">2019-09-07T19:50:00Z</dcterms:created>
  <dcterms:modified xsi:type="dcterms:W3CDTF">2019-09-07T20:06:00Z</dcterms:modified>
</cp:coreProperties>
</file>