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lainTable5"/>
        <w:tblpPr w:leftFromText="180" w:rightFromText="180" w:vertAnchor="text" w:horzAnchor="page" w:tblpX="218" w:tblpY="-1194"/>
        <w:tblW w:w="15380" w:type="dxa"/>
        <w:tblLook w:val="04A0" w:firstRow="1" w:lastRow="0" w:firstColumn="1" w:lastColumn="0" w:noHBand="0" w:noVBand="1"/>
      </w:tblPr>
      <w:tblGrid>
        <w:gridCol w:w="1519"/>
        <w:gridCol w:w="1183"/>
        <w:gridCol w:w="1684"/>
        <w:gridCol w:w="1605"/>
        <w:gridCol w:w="1605"/>
        <w:gridCol w:w="1529"/>
        <w:gridCol w:w="1203"/>
        <w:gridCol w:w="2576"/>
        <w:gridCol w:w="2476"/>
      </w:tblGrid>
      <w:tr w:rsidR="00CB0245" w:rsidRPr="000B1325" w14:paraId="65F963D6" w14:textId="77777777" w:rsidTr="00CB024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20" w:type="dxa"/>
            <w:hideMark/>
          </w:tcPr>
          <w:p w14:paraId="35770200" w14:textId="77777777" w:rsidR="000B1325" w:rsidRPr="000B1325" w:rsidRDefault="000B1325" w:rsidP="000B1325">
            <w:pPr>
              <w:jc w:val="center"/>
              <w:rPr>
                <w:rFonts w:asciiTheme="minorHAnsi" w:eastAsia="Times New Roman" w:hAnsiTheme="minorHAnsi" w:cstheme="minorHAnsi"/>
                <w:sz w:val="22"/>
              </w:rPr>
            </w:pPr>
            <w:r w:rsidRPr="000B1325">
              <w:rPr>
                <w:rFonts w:asciiTheme="minorHAnsi" w:eastAsia="Times New Roman" w:hAnsiTheme="minorHAnsi" w:cstheme="minorHAnsi"/>
                <w:color w:val="000000"/>
                <w:sz w:val="22"/>
              </w:rPr>
              <w:t>Drug name</w:t>
            </w:r>
          </w:p>
        </w:tc>
        <w:tc>
          <w:tcPr>
            <w:tcW w:w="810" w:type="dxa"/>
            <w:hideMark/>
          </w:tcPr>
          <w:p w14:paraId="3194871A" w14:textId="77777777" w:rsidR="000B1325" w:rsidRPr="000B1325" w:rsidRDefault="000B1325" w:rsidP="000B1325">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rPr>
            </w:pPr>
            <w:r w:rsidRPr="000B1325">
              <w:rPr>
                <w:rFonts w:asciiTheme="minorHAnsi" w:eastAsia="Times New Roman" w:hAnsiTheme="minorHAnsi" w:cstheme="minorHAnsi"/>
                <w:color w:val="000000"/>
                <w:sz w:val="22"/>
              </w:rPr>
              <w:t>Category</w:t>
            </w:r>
          </w:p>
        </w:tc>
        <w:tc>
          <w:tcPr>
            <w:tcW w:w="1710" w:type="dxa"/>
            <w:hideMark/>
          </w:tcPr>
          <w:p w14:paraId="2A0FC6C4" w14:textId="77777777" w:rsidR="000B1325" w:rsidRPr="000B1325" w:rsidRDefault="000B1325" w:rsidP="000B1325">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rPr>
            </w:pPr>
            <w:r w:rsidRPr="000B1325">
              <w:rPr>
                <w:rFonts w:asciiTheme="minorHAnsi" w:eastAsia="Times New Roman" w:hAnsiTheme="minorHAnsi" w:cstheme="minorHAnsi"/>
                <w:color w:val="000000"/>
                <w:sz w:val="22"/>
              </w:rPr>
              <w:t>Use</w:t>
            </w:r>
          </w:p>
        </w:tc>
        <w:tc>
          <w:tcPr>
            <w:tcW w:w="1620" w:type="dxa"/>
            <w:hideMark/>
          </w:tcPr>
          <w:p w14:paraId="3A490A45" w14:textId="77777777" w:rsidR="000B1325" w:rsidRPr="000B1325" w:rsidRDefault="000B1325" w:rsidP="000B1325">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rPr>
            </w:pPr>
            <w:r w:rsidRPr="000B1325">
              <w:rPr>
                <w:rFonts w:asciiTheme="minorHAnsi" w:eastAsia="Times New Roman" w:hAnsiTheme="minorHAnsi" w:cstheme="minorHAnsi"/>
                <w:color w:val="000000"/>
                <w:sz w:val="22"/>
              </w:rPr>
              <w:t>MOA</w:t>
            </w:r>
          </w:p>
        </w:tc>
        <w:tc>
          <w:tcPr>
            <w:tcW w:w="1645" w:type="dxa"/>
            <w:hideMark/>
          </w:tcPr>
          <w:p w14:paraId="1F1BD455" w14:textId="77777777" w:rsidR="000B1325" w:rsidRPr="000B1325" w:rsidRDefault="000B1325" w:rsidP="000B1325">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rPr>
            </w:pPr>
            <w:r w:rsidRPr="000B1325">
              <w:rPr>
                <w:rFonts w:asciiTheme="minorHAnsi" w:eastAsia="Times New Roman" w:hAnsiTheme="minorHAnsi" w:cstheme="minorHAnsi"/>
                <w:color w:val="000000"/>
                <w:sz w:val="22"/>
              </w:rPr>
              <w:t>Dose</w:t>
            </w:r>
          </w:p>
        </w:tc>
        <w:tc>
          <w:tcPr>
            <w:tcW w:w="1511" w:type="dxa"/>
            <w:hideMark/>
          </w:tcPr>
          <w:p w14:paraId="09AD7D80" w14:textId="77777777" w:rsidR="000B1325" w:rsidRPr="000B1325" w:rsidRDefault="000B1325" w:rsidP="000B1325">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rPr>
            </w:pPr>
            <w:r w:rsidRPr="000B1325">
              <w:rPr>
                <w:rFonts w:asciiTheme="minorHAnsi" w:eastAsia="Times New Roman" w:hAnsiTheme="minorHAnsi" w:cstheme="minorHAnsi"/>
                <w:color w:val="000000"/>
                <w:sz w:val="22"/>
              </w:rPr>
              <w:t>Method of administration</w:t>
            </w:r>
          </w:p>
          <w:p w14:paraId="5FB448F3" w14:textId="77777777" w:rsidR="000B1325" w:rsidRPr="000B1325" w:rsidRDefault="000B1325" w:rsidP="000B1325">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rPr>
            </w:pPr>
          </w:p>
        </w:tc>
        <w:tc>
          <w:tcPr>
            <w:tcW w:w="0" w:type="auto"/>
            <w:hideMark/>
          </w:tcPr>
          <w:p w14:paraId="225F8DFC" w14:textId="77777777" w:rsidR="000B1325" w:rsidRPr="000B1325" w:rsidRDefault="000B1325" w:rsidP="000B1325">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rPr>
            </w:pPr>
            <w:r w:rsidRPr="000B1325">
              <w:rPr>
                <w:rFonts w:asciiTheme="minorHAnsi" w:eastAsia="Times New Roman" w:hAnsiTheme="minorHAnsi" w:cstheme="minorHAnsi"/>
                <w:color w:val="000000"/>
                <w:sz w:val="22"/>
              </w:rPr>
              <w:t>Side Effects</w:t>
            </w:r>
          </w:p>
        </w:tc>
        <w:tc>
          <w:tcPr>
            <w:tcW w:w="2751" w:type="dxa"/>
            <w:hideMark/>
          </w:tcPr>
          <w:p w14:paraId="46D6D21D" w14:textId="77777777" w:rsidR="000B1325" w:rsidRPr="000B1325" w:rsidRDefault="000B1325" w:rsidP="000B1325">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rPr>
            </w:pPr>
            <w:r w:rsidRPr="000B1325">
              <w:rPr>
                <w:rFonts w:asciiTheme="minorHAnsi" w:eastAsia="Times New Roman" w:hAnsiTheme="minorHAnsi" w:cstheme="minorHAnsi"/>
                <w:color w:val="000000"/>
                <w:sz w:val="22"/>
              </w:rPr>
              <w:t>Withdrawal times</w:t>
            </w:r>
          </w:p>
        </w:tc>
        <w:tc>
          <w:tcPr>
            <w:tcW w:w="2626" w:type="dxa"/>
            <w:hideMark/>
          </w:tcPr>
          <w:p w14:paraId="3A478D02" w14:textId="77777777" w:rsidR="000B1325" w:rsidRPr="000B1325" w:rsidRDefault="000B1325" w:rsidP="000B1325">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rPr>
            </w:pPr>
            <w:r w:rsidRPr="000B1325">
              <w:rPr>
                <w:rFonts w:asciiTheme="minorHAnsi" w:eastAsia="Times New Roman" w:hAnsiTheme="minorHAnsi" w:cstheme="minorHAnsi"/>
                <w:color w:val="000000"/>
                <w:sz w:val="22"/>
              </w:rPr>
              <w:t>Precautions</w:t>
            </w:r>
          </w:p>
        </w:tc>
      </w:tr>
      <w:tr w:rsidR="00CB0245" w:rsidRPr="000B1325" w14:paraId="4F9DE8CA" w14:textId="77777777" w:rsidTr="00CB0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hideMark/>
          </w:tcPr>
          <w:p w14:paraId="4CEC0525" w14:textId="77777777" w:rsidR="000B1325" w:rsidRDefault="000B1325" w:rsidP="000B1325">
            <w:pPr>
              <w:rPr>
                <w:rFonts w:eastAsia="Times New Roman" w:cstheme="minorHAnsi"/>
                <w:color w:val="000000"/>
              </w:rPr>
            </w:pPr>
            <w:bookmarkStart w:id="0" w:name="_GoBack"/>
            <w:r w:rsidRPr="000B1325">
              <w:rPr>
                <w:rFonts w:asciiTheme="minorHAnsi" w:eastAsia="Times New Roman" w:hAnsiTheme="minorHAnsi" w:cstheme="minorHAnsi"/>
                <w:color w:val="000000"/>
                <w:sz w:val="22"/>
              </w:rPr>
              <w:t>Pro- Pen -G</w:t>
            </w:r>
          </w:p>
          <w:bookmarkEnd w:id="0"/>
          <w:p w14:paraId="09ABB204" w14:textId="77777777" w:rsidR="000B1325" w:rsidRDefault="000B1325" w:rsidP="000B1325">
            <w:pPr>
              <w:rPr>
                <w:rFonts w:eastAsia="Times New Roman" w:cstheme="minorHAnsi"/>
                <w:color w:val="000000"/>
              </w:rPr>
            </w:pPr>
          </w:p>
          <w:p w14:paraId="3A87C5D5" w14:textId="11396543" w:rsidR="000B1325" w:rsidRDefault="000B1325" w:rsidP="000B1325">
            <w:pPr>
              <w:rPr>
                <w:rFonts w:eastAsia="Times New Roman" w:cstheme="minorHAnsi"/>
                <w:color w:val="000000"/>
              </w:rPr>
            </w:pPr>
            <w:r w:rsidRPr="000B1325">
              <w:rPr>
                <w:rFonts w:asciiTheme="minorHAnsi" w:eastAsia="Times New Roman" w:hAnsiTheme="minorHAnsi" w:cstheme="minorHAnsi"/>
                <w:color w:val="000000"/>
                <w:sz w:val="22"/>
              </w:rPr>
              <w:t> </w:t>
            </w:r>
          </w:p>
          <w:p w14:paraId="2B77E7FA" w14:textId="61EE7FAC" w:rsidR="000B1325" w:rsidRPr="000B1325" w:rsidRDefault="00CB0245" w:rsidP="000B1325">
            <w:pPr>
              <w:rPr>
                <w:rFonts w:asciiTheme="minorHAnsi" w:eastAsia="Times New Roman" w:hAnsiTheme="minorHAnsi" w:cstheme="minorHAnsi"/>
                <w:sz w:val="22"/>
              </w:rPr>
            </w:pPr>
            <w:r>
              <w:rPr>
                <w:noProof/>
              </w:rPr>
              <w:drawing>
                <wp:anchor distT="0" distB="0" distL="114300" distR="114300" simplePos="0" relativeHeight="251658240" behindDoc="1" locked="0" layoutInCell="1" allowOverlap="1" wp14:anchorId="1A03C6D3" wp14:editId="18C983C9">
                  <wp:simplePos x="0" y="0"/>
                  <wp:positionH relativeFrom="column">
                    <wp:posOffset>0</wp:posOffset>
                  </wp:positionH>
                  <wp:positionV relativeFrom="paragraph">
                    <wp:posOffset>293298</wp:posOffset>
                  </wp:positionV>
                  <wp:extent cx="823344" cy="1250830"/>
                  <wp:effectExtent l="0" t="0" r="0" b="6985"/>
                  <wp:wrapTight wrapText="bothSides">
                    <wp:wrapPolygon edited="0">
                      <wp:start x="0" y="0"/>
                      <wp:lineTo x="0" y="21392"/>
                      <wp:lineTo x="21000" y="21392"/>
                      <wp:lineTo x="210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21192" t="32960" r="16168" b="22061"/>
                          <a:stretch/>
                        </pic:blipFill>
                        <pic:spPr bwMode="auto">
                          <a:xfrm>
                            <a:off x="0" y="0"/>
                            <a:ext cx="823344" cy="1250830"/>
                          </a:xfrm>
                          <a:prstGeom prst="rect">
                            <a:avLst/>
                          </a:prstGeom>
                          <a:ln>
                            <a:noFill/>
                          </a:ln>
                          <a:extLst>
                            <a:ext uri="{53640926-AAD7-44D8-BBD7-CCE9431645EC}">
                              <a14:shadowObscured xmlns:a14="http://schemas.microsoft.com/office/drawing/2010/main"/>
                            </a:ext>
                          </a:extLst>
                        </pic:spPr>
                      </pic:pic>
                    </a:graphicData>
                  </a:graphic>
                </wp:anchor>
              </w:drawing>
            </w:r>
          </w:p>
        </w:tc>
        <w:tc>
          <w:tcPr>
            <w:tcW w:w="810" w:type="dxa"/>
            <w:hideMark/>
          </w:tcPr>
          <w:p w14:paraId="320B367E" w14:textId="77777777" w:rsidR="000B1325" w:rsidRPr="000B1325" w:rsidRDefault="000B1325" w:rsidP="000B1325">
            <w:pPr>
              <w:cnfStyle w:val="000000100000" w:firstRow="0" w:lastRow="0" w:firstColumn="0" w:lastColumn="0" w:oddVBand="0" w:evenVBand="0" w:oddHBand="1" w:evenHBand="0" w:firstRowFirstColumn="0" w:firstRowLastColumn="0" w:lastRowFirstColumn="0" w:lastRowLastColumn="0"/>
              <w:rPr>
                <w:rFonts w:eastAsia="Times New Roman" w:cstheme="minorHAnsi"/>
              </w:rPr>
            </w:pPr>
            <w:proofErr w:type="spellStart"/>
            <w:r w:rsidRPr="000B1325">
              <w:rPr>
                <w:rFonts w:eastAsia="Times New Roman" w:cstheme="minorHAnsi"/>
                <w:color w:val="000000"/>
              </w:rPr>
              <w:t>Anitibiotic</w:t>
            </w:r>
            <w:proofErr w:type="spellEnd"/>
            <w:r w:rsidRPr="000B1325">
              <w:rPr>
                <w:rFonts w:eastAsia="Times New Roman" w:cstheme="minorHAnsi"/>
                <w:color w:val="000000"/>
              </w:rPr>
              <w:t> </w:t>
            </w:r>
          </w:p>
        </w:tc>
        <w:tc>
          <w:tcPr>
            <w:tcW w:w="1710" w:type="dxa"/>
            <w:hideMark/>
          </w:tcPr>
          <w:p w14:paraId="73363CFD" w14:textId="77777777" w:rsidR="000B1325" w:rsidRPr="000B1325" w:rsidRDefault="000B1325" w:rsidP="000B1325">
            <w:pPr>
              <w:shd w:val="clear" w:color="auto" w:fill="FFFFFF"/>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0B1325">
              <w:rPr>
                <w:rFonts w:eastAsia="Times New Roman" w:cstheme="minorHAnsi"/>
                <w:color w:val="222222"/>
              </w:rPr>
              <w:t>Penicillin G Procaine is indicated for the treatment of:</w:t>
            </w:r>
          </w:p>
          <w:p w14:paraId="02CE9F1D" w14:textId="77777777" w:rsidR="000B1325" w:rsidRPr="000B1325" w:rsidRDefault="000B1325" w:rsidP="000B1325">
            <w:pPr>
              <w:shd w:val="clear" w:color="auto" w:fill="FFFFFF"/>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0B1325">
              <w:rPr>
                <w:rFonts w:eastAsia="Times New Roman" w:cstheme="minorHAnsi"/>
                <w:color w:val="222222"/>
              </w:rPr>
              <w:t xml:space="preserve">1. Cattle and sheep - bacterial pneumonia (shipping fever) caused by </w:t>
            </w:r>
            <w:r w:rsidRPr="000B1325">
              <w:rPr>
                <w:rFonts w:eastAsia="Times New Roman" w:cstheme="minorHAnsi"/>
                <w:i/>
                <w:iCs/>
                <w:color w:val="222222"/>
              </w:rPr>
              <w:t xml:space="preserve">Pasteurella </w:t>
            </w:r>
            <w:proofErr w:type="spellStart"/>
            <w:r w:rsidRPr="000B1325">
              <w:rPr>
                <w:rFonts w:eastAsia="Times New Roman" w:cstheme="minorHAnsi"/>
                <w:i/>
                <w:iCs/>
                <w:color w:val="222222"/>
              </w:rPr>
              <w:t>multocida</w:t>
            </w:r>
            <w:proofErr w:type="spellEnd"/>
            <w:r w:rsidRPr="000B1325">
              <w:rPr>
                <w:rFonts w:eastAsia="Times New Roman" w:cstheme="minorHAnsi"/>
                <w:i/>
                <w:iCs/>
                <w:color w:val="222222"/>
              </w:rPr>
              <w:t>.</w:t>
            </w:r>
          </w:p>
          <w:p w14:paraId="4BBACFE9" w14:textId="77777777" w:rsidR="000B1325" w:rsidRPr="000B1325" w:rsidRDefault="000B1325" w:rsidP="000B1325">
            <w:pPr>
              <w:shd w:val="clear" w:color="auto" w:fill="FFFFFF"/>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0B1325">
              <w:rPr>
                <w:rFonts w:eastAsia="Times New Roman" w:cstheme="minorHAnsi"/>
                <w:color w:val="222222"/>
              </w:rPr>
              <w:t xml:space="preserve">2. Swine - erysipelas caused by </w:t>
            </w:r>
            <w:proofErr w:type="spellStart"/>
            <w:r w:rsidRPr="000B1325">
              <w:rPr>
                <w:rFonts w:eastAsia="Times New Roman" w:cstheme="minorHAnsi"/>
                <w:i/>
                <w:iCs/>
                <w:color w:val="222222"/>
              </w:rPr>
              <w:t>Erysipelothrix</w:t>
            </w:r>
            <w:proofErr w:type="spellEnd"/>
            <w:r w:rsidRPr="000B1325">
              <w:rPr>
                <w:rFonts w:eastAsia="Times New Roman" w:cstheme="minorHAnsi"/>
                <w:i/>
                <w:iCs/>
                <w:color w:val="222222"/>
              </w:rPr>
              <w:t xml:space="preserve"> </w:t>
            </w:r>
            <w:proofErr w:type="spellStart"/>
            <w:r w:rsidRPr="000B1325">
              <w:rPr>
                <w:rFonts w:eastAsia="Times New Roman" w:cstheme="minorHAnsi"/>
                <w:i/>
                <w:iCs/>
                <w:color w:val="222222"/>
              </w:rPr>
              <w:t>rhusiopathiae</w:t>
            </w:r>
            <w:proofErr w:type="spellEnd"/>
            <w:r w:rsidRPr="000B1325">
              <w:rPr>
                <w:rFonts w:eastAsia="Times New Roman" w:cstheme="minorHAnsi"/>
                <w:i/>
                <w:iCs/>
                <w:color w:val="222222"/>
              </w:rPr>
              <w:t>.</w:t>
            </w:r>
          </w:p>
          <w:p w14:paraId="58C6F636" w14:textId="77777777" w:rsidR="000B1325" w:rsidRPr="000B1325" w:rsidRDefault="000B1325" w:rsidP="000B1325">
            <w:pPr>
              <w:shd w:val="clear" w:color="auto" w:fill="FFFFFF"/>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0B1325">
              <w:rPr>
                <w:rFonts w:eastAsia="Times New Roman" w:cstheme="minorHAnsi"/>
                <w:color w:val="222222"/>
              </w:rPr>
              <w:t xml:space="preserve">3. Horses - strangles caused by </w:t>
            </w:r>
            <w:r w:rsidRPr="000B1325">
              <w:rPr>
                <w:rFonts w:eastAsia="Times New Roman" w:cstheme="minorHAnsi"/>
                <w:i/>
                <w:iCs/>
                <w:color w:val="222222"/>
              </w:rPr>
              <w:t xml:space="preserve">Streptococcus </w:t>
            </w:r>
            <w:proofErr w:type="spellStart"/>
            <w:r w:rsidRPr="000B1325">
              <w:rPr>
                <w:rFonts w:eastAsia="Times New Roman" w:cstheme="minorHAnsi"/>
                <w:i/>
                <w:iCs/>
                <w:color w:val="222222"/>
              </w:rPr>
              <w:t>equi</w:t>
            </w:r>
            <w:proofErr w:type="spellEnd"/>
            <w:r w:rsidRPr="000B1325">
              <w:rPr>
                <w:rFonts w:eastAsia="Times New Roman" w:cstheme="minorHAnsi"/>
                <w:i/>
                <w:iCs/>
                <w:color w:val="222222"/>
              </w:rPr>
              <w:t>.</w:t>
            </w:r>
          </w:p>
        </w:tc>
        <w:tc>
          <w:tcPr>
            <w:tcW w:w="1620" w:type="dxa"/>
            <w:hideMark/>
          </w:tcPr>
          <w:p w14:paraId="63E05AEB" w14:textId="77777777" w:rsidR="000B1325" w:rsidRPr="000B1325" w:rsidRDefault="000B1325" w:rsidP="000B1325">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0B1325">
              <w:rPr>
                <w:rFonts w:eastAsia="Times New Roman" w:cstheme="minorHAnsi"/>
                <w:color w:val="222222"/>
                <w:shd w:val="clear" w:color="auto" w:fill="FFFFFF"/>
              </w:rPr>
              <w:t xml:space="preserve"> Penicillin G is an effective bactericide in the treatment of infections caused primarily by penicillin-sensitive organisms, such as </w:t>
            </w:r>
            <w:r w:rsidRPr="000B1325">
              <w:rPr>
                <w:rFonts w:eastAsia="Times New Roman" w:cstheme="minorHAnsi"/>
                <w:i/>
                <w:iCs/>
                <w:color w:val="222222"/>
                <w:shd w:val="clear" w:color="auto" w:fill="FFFFFF"/>
              </w:rPr>
              <w:t xml:space="preserve">Streptococcus </w:t>
            </w:r>
            <w:proofErr w:type="spellStart"/>
            <w:r w:rsidRPr="000B1325">
              <w:rPr>
                <w:rFonts w:eastAsia="Times New Roman" w:cstheme="minorHAnsi"/>
                <w:i/>
                <w:iCs/>
                <w:color w:val="222222"/>
                <w:shd w:val="clear" w:color="auto" w:fill="FFFFFF"/>
              </w:rPr>
              <w:t>equi</w:t>
            </w:r>
            <w:proofErr w:type="spellEnd"/>
            <w:r w:rsidRPr="000B1325">
              <w:rPr>
                <w:rFonts w:eastAsia="Times New Roman" w:cstheme="minorHAnsi"/>
                <w:color w:val="222222"/>
                <w:shd w:val="clear" w:color="auto" w:fill="FFFFFF"/>
              </w:rPr>
              <w:t xml:space="preserve"> and </w:t>
            </w:r>
            <w:proofErr w:type="spellStart"/>
            <w:r w:rsidRPr="000B1325">
              <w:rPr>
                <w:rFonts w:eastAsia="Times New Roman" w:cstheme="minorHAnsi"/>
                <w:i/>
                <w:iCs/>
                <w:color w:val="222222"/>
                <w:shd w:val="clear" w:color="auto" w:fill="FFFFFF"/>
              </w:rPr>
              <w:t>Erysipelothrix</w:t>
            </w:r>
            <w:proofErr w:type="spellEnd"/>
            <w:r w:rsidRPr="000B1325">
              <w:rPr>
                <w:rFonts w:eastAsia="Times New Roman" w:cstheme="minorHAnsi"/>
                <w:i/>
                <w:iCs/>
                <w:color w:val="222222"/>
                <w:shd w:val="clear" w:color="auto" w:fill="FFFFFF"/>
              </w:rPr>
              <w:t xml:space="preserve"> </w:t>
            </w:r>
            <w:proofErr w:type="spellStart"/>
            <w:r w:rsidRPr="000B1325">
              <w:rPr>
                <w:rFonts w:eastAsia="Times New Roman" w:cstheme="minorHAnsi"/>
                <w:i/>
                <w:iCs/>
                <w:color w:val="222222"/>
                <w:shd w:val="clear" w:color="auto" w:fill="FFFFFF"/>
              </w:rPr>
              <w:t>rhusiopathiae</w:t>
            </w:r>
            <w:proofErr w:type="spellEnd"/>
            <w:r w:rsidRPr="000B1325">
              <w:rPr>
                <w:rFonts w:eastAsia="Times New Roman" w:cstheme="minorHAnsi"/>
                <w:color w:val="222222"/>
                <w:shd w:val="clear" w:color="auto" w:fill="FFFFFF"/>
              </w:rPr>
              <w:t xml:space="preserve">, as well as the </w:t>
            </w:r>
            <w:proofErr w:type="gramStart"/>
            <w:r w:rsidRPr="000B1325">
              <w:rPr>
                <w:rFonts w:eastAsia="Times New Roman" w:cstheme="minorHAnsi"/>
                <w:color w:val="222222"/>
                <w:shd w:val="clear" w:color="auto" w:fill="FFFFFF"/>
              </w:rPr>
              <w:t>gram negative</w:t>
            </w:r>
            <w:proofErr w:type="gramEnd"/>
            <w:r w:rsidRPr="000B1325">
              <w:rPr>
                <w:rFonts w:eastAsia="Times New Roman" w:cstheme="minorHAnsi"/>
                <w:color w:val="222222"/>
                <w:shd w:val="clear" w:color="auto" w:fill="FFFFFF"/>
              </w:rPr>
              <w:t xml:space="preserve"> organism </w:t>
            </w:r>
            <w:r w:rsidRPr="000B1325">
              <w:rPr>
                <w:rFonts w:eastAsia="Times New Roman" w:cstheme="minorHAnsi"/>
                <w:i/>
                <w:iCs/>
                <w:color w:val="222222"/>
                <w:shd w:val="clear" w:color="auto" w:fill="FFFFFF"/>
              </w:rPr>
              <w:t xml:space="preserve">Pasteurella </w:t>
            </w:r>
            <w:proofErr w:type="spellStart"/>
            <w:r w:rsidRPr="000B1325">
              <w:rPr>
                <w:rFonts w:eastAsia="Times New Roman" w:cstheme="minorHAnsi"/>
                <w:i/>
                <w:iCs/>
                <w:color w:val="222222"/>
                <w:shd w:val="clear" w:color="auto" w:fill="FFFFFF"/>
              </w:rPr>
              <w:t>multocida</w:t>
            </w:r>
            <w:proofErr w:type="spellEnd"/>
            <w:r w:rsidRPr="000B1325">
              <w:rPr>
                <w:rFonts w:eastAsia="Times New Roman" w:cstheme="minorHAnsi"/>
                <w:color w:val="222222"/>
                <w:shd w:val="clear" w:color="auto" w:fill="FFFFFF"/>
              </w:rPr>
              <w:t>.</w:t>
            </w:r>
          </w:p>
        </w:tc>
        <w:tc>
          <w:tcPr>
            <w:tcW w:w="1645" w:type="dxa"/>
            <w:hideMark/>
          </w:tcPr>
          <w:p w14:paraId="310CD964" w14:textId="77777777" w:rsidR="000B1325" w:rsidRPr="000B1325" w:rsidRDefault="000B1325" w:rsidP="000B1325">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0B1325">
              <w:rPr>
                <w:rFonts w:eastAsia="Times New Roman" w:cstheme="minorHAnsi"/>
                <w:color w:val="333333"/>
                <w:shd w:val="clear" w:color="auto" w:fill="FFFFFF"/>
              </w:rPr>
              <w:t>The dosage for cattle, sheep, swine, and horses is 3000 units per pound of body weight, or 1.0 mL for each 100 pounds of bodyweight, once daily. </w:t>
            </w:r>
          </w:p>
        </w:tc>
        <w:tc>
          <w:tcPr>
            <w:tcW w:w="1511" w:type="dxa"/>
            <w:hideMark/>
          </w:tcPr>
          <w:p w14:paraId="54FC9A02" w14:textId="77777777" w:rsidR="000B1325" w:rsidRPr="000B1325" w:rsidRDefault="000B1325" w:rsidP="000B1325">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0B1325">
              <w:rPr>
                <w:rFonts w:eastAsia="Times New Roman" w:cstheme="minorHAnsi"/>
                <w:color w:val="000000"/>
              </w:rPr>
              <w:t>IM</w:t>
            </w:r>
          </w:p>
        </w:tc>
        <w:tc>
          <w:tcPr>
            <w:tcW w:w="0" w:type="auto"/>
            <w:hideMark/>
          </w:tcPr>
          <w:p w14:paraId="79AD1FE8" w14:textId="77777777" w:rsidR="000B1325" w:rsidRPr="000B1325" w:rsidRDefault="000B1325" w:rsidP="000B1325">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0B1325">
              <w:rPr>
                <w:rFonts w:eastAsia="Times New Roman" w:cstheme="minorHAnsi"/>
                <w:color w:val="222222"/>
                <w:shd w:val="clear" w:color="auto" w:fill="FFFFFF"/>
              </w:rPr>
              <w:t xml:space="preserve">Sensitivity reactions to </w:t>
            </w:r>
            <w:r w:rsidRPr="000B1325">
              <w:rPr>
                <w:rFonts w:eastAsia="Times New Roman" w:cstheme="minorHAnsi"/>
                <w:b/>
                <w:bCs/>
                <w:color w:val="222222"/>
                <w:shd w:val="clear" w:color="auto" w:fill="FFFFFF"/>
              </w:rPr>
              <w:t>penicillin</w:t>
            </w:r>
            <w:r w:rsidRPr="000B1325">
              <w:rPr>
                <w:rFonts w:eastAsia="Times New Roman" w:cstheme="minorHAnsi"/>
                <w:color w:val="222222"/>
                <w:shd w:val="clear" w:color="auto" w:fill="FFFFFF"/>
              </w:rPr>
              <w:t xml:space="preserve"> and procaine, such as hives or respiratory distress, may occur in some </w:t>
            </w:r>
            <w:r w:rsidRPr="000B1325">
              <w:rPr>
                <w:rFonts w:eastAsia="Times New Roman" w:cstheme="minorHAnsi"/>
                <w:b/>
                <w:bCs/>
                <w:color w:val="222222"/>
                <w:shd w:val="clear" w:color="auto" w:fill="FFFFFF"/>
              </w:rPr>
              <w:t>animals</w:t>
            </w:r>
          </w:p>
        </w:tc>
        <w:tc>
          <w:tcPr>
            <w:tcW w:w="2751" w:type="dxa"/>
            <w:hideMark/>
          </w:tcPr>
          <w:p w14:paraId="01ADF7AE" w14:textId="77777777" w:rsidR="000B1325" w:rsidRPr="000B1325" w:rsidRDefault="000B1325" w:rsidP="000B1325">
            <w:pPr>
              <w:shd w:val="clear" w:color="auto" w:fill="FFFFFF"/>
              <w:spacing w:before="280"/>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0B1325">
              <w:rPr>
                <w:rFonts w:eastAsia="Times New Roman" w:cstheme="minorHAnsi"/>
                <w:color w:val="333333"/>
              </w:rPr>
              <w:t>1. Not for use in horses intended for food.</w:t>
            </w:r>
          </w:p>
          <w:p w14:paraId="0A036D03" w14:textId="77777777" w:rsidR="000B1325" w:rsidRPr="000B1325" w:rsidRDefault="000B1325" w:rsidP="000B1325">
            <w:pPr>
              <w:shd w:val="clear" w:color="auto" w:fill="FFFFFF"/>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0B1325">
              <w:rPr>
                <w:rFonts w:eastAsia="Times New Roman" w:cstheme="minorHAnsi"/>
                <w:color w:val="333333"/>
              </w:rPr>
              <w:t>2. Milk that has been taken from animals during treatment and for 48 hours after the last treatment must not be used for food. The daily treatment schedule should not exceed seven (7) days of treatment in non-lactating dairy and beef cattle, sheep and swine, or five (5) days in lactating dairy cattle.</w:t>
            </w:r>
          </w:p>
          <w:p w14:paraId="4079B24E" w14:textId="77777777" w:rsidR="000B1325" w:rsidRPr="000B1325" w:rsidRDefault="000B1325" w:rsidP="000B1325">
            <w:pPr>
              <w:shd w:val="clear" w:color="auto" w:fill="FFFFFF"/>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0B1325">
              <w:rPr>
                <w:rFonts w:eastAsia="Times New Roman" w:cstheme="minorHAnsi"/>
                <w:color w:val="333333"/>
              </w:rPr>
              <w:t>3. The drug should be discontinued for the following time periods before treated animals are slaughtered for food: Cattle — 4 days; Sheep — 8 days; Swine — 6 days; non-ruminating calves — 7 days.</w:t>
            </w:r>
          </w:p>
          <w:p w14:paraId="17BA3D3C" w14:textId="77777777" w:rsidR="000B1325" w:rsidRPr="000B1325" w:rsidRDefault="000B1325" w:rsidP="000B1325">
            <w:pPr>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2626" w:type="dxa"/>
            <w:hideMark/>
          </w:tcPr>
          <w:p w14:paraId="5ECBE85C" w14:textId="77777777" w:rsidR="000B1325" w:rsidRPr="000B1325" w:rsidRDefault="000B1325" w:rsidP="000B1325">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0B1325">
              <w:rPr>
                <w:rFonts w:eastAsia="Times New Roman" w:cstheme="minorHAnsi"/>
                <w:color w:val="333333"/>
                <w:shd w:val="clear" w:color="auto" w:fill="FFFFFF"/>
              </w:rPr>
              <w:t>Sensitivity reactions to penicillin and procaine, such as hives or respiratory distress, may occur in some animals. If such signs of sensitivity occur, stop medication and call your veterinarian. In some instances, particularly if respiratory distress is severe, immediate injection of epinephrine or antihistamine may be necessary. As with any antibiotic preparation, prolonged use may result in overgrowth of non-susceptible organisms, including fungi. If this condition is suspected, stop medication and consult your veterinarian.</w:t>
            </w:r>
          </w:p>
        </w:tc>
      </w:tr>
    </w:tbl>
    <w:p w14:paraId="10A84130" w14:textId="77777777" w:rsidR="000B1325" w:rsidRPr="000B1325" w:rsidRDefault="000B1325" w:rsidP="000B1325">
      <w:pPr>
        <w:spacing w:after="0" w:line="240" w:lineRule="auto"/>
        <w:rPr>
          <w:rFonts w:ascii="Times New Roman" w:eastAsia="Times New Roman" w:hAnsi="Times New Roman" w:cs="Times New Roman"/>
          <w:sz w:val="24"/>
          <w:szCs w:val="24"/>
        </w:rPr>
      </w:pPr>
    </w:p>
    <w:p w14:paraId="2D1CCBEB" w14:textId="47C47681" w:rsidR="000B1325" w:rsidRDefault="000B1325">
      <w:r w:rsidRPr="000B1325">
        <w:rPr>
          <w:rFonts w:ascii="Times New Roman" w:eastAsia="Times New Roman" w:hAnsi="Times New Roman" w:cs="Times New Roman"/>
          <w:sz w:val="24"/>
          <w:szCs w:val="24"/>
        </w:rPr>
        <w:br/>
      </w:r>
    </w:p>
    <w:sectPr w:rsidR="000B1325" w:rsidSect="000B132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4327D1"/>
    <w:multiLevelType w:val="multilevel"/>
    <w:tmpl w:val="5A98F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1B2038"/>
    <w:multiLevelType w:val="multilevel"/>
    <w:tmpl w:val="90A23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325"/>
    <w:rsid w:val="000B1325"/>
    <w:rsid w:val="00CB0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7E721"/>
  <w15:chartTrackingRefBased/>
  <w15:docId w15:val="{9CA63E6B-E85C-4186-AEF6-481315DE8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5">
    <w:name w:val="Plain Table 5"/>
    <w:basedOn w:val="TableNormal"/>
    <w:uiPriority w:val="45"/>
    <w:rsid w:val="00CB024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CB024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244354">
      <w:bodyDiv w:val="1"/>
      <w:marLeft w:val="0"/>
      <w:marRight w:val="0"/>
      <w:marTop w:val="0"/>
      <w:marBottom w:val="0"/>
      <w:divBdr>
        <w:top w:val="none" w:sz="0" w:space="0" w:color="auto"/>
        <w:left w:val="none" w:sz="0" w:space="0" w:color="auto"/>
        <w:bottom w:val="none" w:sz="0" w:space="0" w:color="auto"/>
        <w:right w:val="none" w:sz="0" w:space="0" w:color="auto"/>
      </w:divBdr>
      <w:divsChild>
        <w:div w:id="630331856">
          <w:marLeft w:val="-345"/>
          <w:marRight w:val="0"/>
          <w:marTop w:val="0"/>
          <w:marBottom w:val="0"/>
          <w:divBdr>
            <w:top w:val="none" w:sz="0" w:space="0" w:color="auto"/>
            <w:left w:val="none" w:sz="0" w:space="0" w:color="auto"/>
            <w:bottom w:val="none" w:sz="0" w:space="0" w:color="auto"/>
            <w:right w:val="none" w:sz="0" w:space="0" w:color="auto"/>
          </w:divBdr>
        </w:div>
      </w:divsChild>
    </w:div>
    <w:div w:id="1402827846">
      <w:bodyDiv w:val="1"/>
      <w:marLeft w:val="0"/>
      <w:marRight w:val="0"/>
      <w:marTop w:val="0"/>
      <w:marBottom w:val="0"/>
      <w:divBdr>
        <w:top w:val="none" w:sz="0" w:space="0" w:color="auto"/>
        <w:left w:val="none" w:sz="0" w:space="0" w:color="auto"/>
        <w:bottom w:val="none" w:sz="0" w:space="0" w:color="auto"/>
        <w:right w:val="none" w:sz="0" w:space="0" w:color="auto"/>
      </w:divBdr>
      <w:divsChild>
        <w:div w:id="1131703749">
          <w:marLeft w:val="-34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chanique blair</dc:creator>
  <cp:keywords/>
  <dc:description/>
  <cp:lastModifiedBy>chanique blair</cp:lastModifiedBy>
  <cp:revision>1</cp:revision>
  <dcterms:created xsi:type="dcterms:W3CDTF">2019-09-07T20:07:00Z</dcterms:created>
  <dcterms:modified xsi:type="dcterms:W3CDTF">2019-09-07T20:22:00Z</dcterms:modified>
</cp:coreProperties>
</file>