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pPr w:leftFromText="180" w:rightFromText="180" w:vertAnchor="text" w:horzAnchor="page" w:tblpX="300" w:tblpY="-1018"/>
        <w:tblW w:w="15110" w:type="dxa"/>
        <w:tblLayout w:type="fixed"/>
        <w:tblLook w:val="04A0" w:firstRow="1" w:lastRow="0" w:firstColumn="1" w:lastColumn="0" w:noHBand="0" w:noVBand="1"/>
      </w:tblPr>
      <w:tblGrid>
        <w:gridCol w:w="1924"/>
        <w:gridCol w:w="1403"/>
        <w:gridCol w:w="1229"/>
        <w:gridCol w:w="1513"/>
        <w:gridCol w:w="1841"/>
        <w:gridCol w:w="1350"/>
        <w:gridCol w:w="1203"/>
        <w:gridCol w:w="1374"/>
        <w:gridCol w:w="3273"/>
      </w:tblGrid>
      <w:tr w:rsidR="001C5F41" w:rsidRPr="001C5F41" w14:paraId="2C20EFA0" w14:textId="77777777" w:rsidTr="001C5F41">
        <w:trPr>
          <w:cnfStyle w:val="100000000000" w:firstRow="1" w:lastRow="0" w:firstColumn="0" w:lastColumn="0" w:oddVBand="0" w:evenVBand="0" w:oddHBand="0" w:evenHBand="0" w:firstRowFirstColumn="0" w:firstRowLastColumn="0" w:lastRowFirstColumn="0" w:lastRowLastColumn="0"/>
          <w:trHeight w:val="870"/>
        </w:trPr>
        <w:tc>
          <w:tcPr>
            <w:cnfStyle w:val="001000000100" w:firstRow="0" w:lastRow="0" w:firstColumn="1" w:lastColumn="0" w:oddVBand="0" w:evenVBand="0" w:oddHBand="0" w:evenHBand="0" w:firstRowFirstColumn="1" w:firstRowLastColumn="0" w:lastRowFirstColumn="0" w:lastRowLastColumn="0"/>
            <w:tcW w:w="1924" w:type="dxa"/>
            <w:hideMark/>
          </w:tcPr>
          <w:p w14:paraId="43E77164" w14:textId="77777777" w:rsidR="008F644A" w:rsidRPr="008F644A" w:rsidRDefault="008F644A" w:rsidP="008F644A">
            <w:pPr>
              <w:jc w:val="center"/>
              <w:rPr>
                <w:rFonts w:asciiTheme="minorHAnsi" w:eastAsia="Times New Roman" w:hAnsiTheme="minorHAnsi" w:cstheme="minorHAnsi"/>
                <w:sz w:val="22"/>
              </w:rPr>
            </w:pPr>
            <w:r w:rsidRPr="008F644A">
              <w:rPr>
                <w:rFonts w:asciiTheme="minorHAnsi" w:eastAsia="Times New Roman" w:hAnsiTheme="minorHAnsi" w:cstheme="minorHAnsi"/>
                <w:color w:val="000000"/>
                <w:sz w:val="22"/>
              </w:rPr>
              <w:t>Drug name</w:t>
            </w:r>
          </w:p>
        </w:tc>
        <w:tc>
          <w:tcPr>
            <w:tcW w:w="1403" w:type="dxa"/>
            <w:hideMark/>
          </w:tcPr>
          <w:p w14:paraId="20F5DA2E" w14:textId="77777777" w:rsidR="008F644A" w:rsidRPr="008F644A" w:rsidRDefault="008F644A" w:rsidP="008F644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8F644A">
              <w:rPr>
                <w:rFonts w:asciiTheme="minorHAnsi" w:eastAsia="Times New Roman" w:hAnsiTheme="minorHAnsi" w:cstheme="minorHAnsi"/>
                <w:color w:val="000000"/>
                <w:sz w:val="22"/>
              </w:rPr>
              <w:t>Category</w:t>
            </w:r>
          </w:p>
        </w:tc>
        <w:tc>
          <w:tcPr>
            <w:tcW w:w="1229" w:type="dxa"/>
            <w:hideMark/>
          </w:tcPr>
          <w:p w14:paraId="12BFC9D1" w14:textId="77777777" w:rsidR="008F644A" w:rsidRPr="008F644A" w:rsidRDefault="008F644A" w:rsidP="008F644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8F644A">
              <w:rPr>
                <w:rFonts w:asciiTheme="minorHAnsi" w:eastAsia="Times New Roman" w:hAnsiTheme="minorHAnsi" w:cstheme="minorHAnsi"/>
                <w:color w:val="000000"/>
                <w:sz w:val="22"/>
              </w:rPr>
              <w:t>Use</w:t>
            </w:r>
          </w:p>
        </w:tc>
        <w:tc>
          <w:tcPr>
            <w:tcW w:w="1513" w:type="dxa"/>
            <w:hideMark/>
          </w:tcPr>
          <w:p w14:paraId="62AE05C1" w14:textId="77777777" w:rsidR="008F644A" w:rsidRPr="008F644A" w:rsidRDefault="008F644A" w:rsidP="008F644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8F644A">
              <w:rPr>
                <w:rFonts w:asciiTheme="minorHAnsi" w:eastAsia="Times New Roman" w:hAnsiTheme="minorHAnsi" w:cstheme="minorHAnsi"/>
                <w:color w:val="000000"/>
                <w:sz w:val="22"/>
              </w:rPr>
              <w:t>MOA</w:t>
            </w:r>
          </w:p>
        </w:tc>
        <w:tc>
          <w:tcPr>
            <w:tcW w:w="1841" w:type="dxa"/>
            <w:hideMark/>
          </w:tcPr>
          <w:p w14:paraId="491FAB1C" w14:textId="77777777" w:rsidR="008F644A" w:rsidRPr="008F644A" w:rsidRDefault="008F644A" w:rsidP="008F644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8F644A">
              <w:rPr>
                <w:rFonts w:asciiTheme="minorHAnsi" w:eastAsia="Times New Roman" w:hAnsiTheme="minorHAnsi" w:cstheme="minorHAnsi"/>
                <w:color w:val="000000"/>
                <w:sz w:val="22"/>
              </w:rPr>
              <w:t>Dose</w:t>
            </w:r>
          </w:p>
        </w:tc>
        <w:tc>
          <w:tcPr>
            <w:tcW w:w="1350" w:type="dxa"/>
            <w:hideMark/>
          </w:tcPr>
          <w:p w14:paraId="5EF41D86" w14:textId="77777777" w:rsidR="008F644A" w:rsidRPr="008F644A" w:rsidRDefault="008F644A" w:rsidP="008F644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8F644A">
              <w:rPr>
                <w:rFonts w:asciiTheme="minorHAnsi" w:eastAsia="Times New Roman" w:hAnsiTheme="minorHAnsi" w:cstheme="minorHAnsi"/>
                <w:color w:val="000000"/>
                <w:sz w:val="22"/>
              </w:rPr>
              <w:t>Method of administration</w:t>
            </w:r>
          </w:p>
          <w:p w14:paraId="561D7B0A" w14:textId="77777777" w:rsidR="008F644A" w:rsidRPr="008F644A" w:rsidRDefault="008F644A" w:rsidP="008F644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p>
        </w:tc>
        <w:tc>
          <w:tcPr>
            <w:tcW w:w="1203" w:type="dxa"/>
            <w:hideMark/>
          </w:tcPr>
          <w:p w14:paraId="440614E9" w14:textId="77777777" w:rsidR="008F644A" w:rsidRPr="008F644A" w:rsidRDefault="008F644A" w:rsidP="008F644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8F644A">
              <w:rPr>
                <w:rFonts w:asciiTheme="minorHAnsi" w:eastAsia="Times New Roman" w:hAnsiTheme="minorHAnsi" w:cstheme="minorHAnsi"/>
                <w:color w:val="000000"/>
                <w:sz w:val="22"/>
              </w:rPr>
              <w:t>Side Effects</w:t>
            </w:r>
          </w:p>
        </w:tc>
        <w:tc>
          <w:tcPr>
            <w:tcW w:w="1374" w:type="dxa"/>
            <w:hideMark/>
          </w:tcPr>
          <w:p w14:paraId="385D0629" w14:textId="77777777" w:rsidR="008F644A" w:rsidRPr="008F644A" w:rsidRDefault="008F644A" w:rsidP="008F644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8F644A">
              <w:rPr>
                <w:rFonts w:asciiTheme="minorHAnsi" w:eastAsia="Times New Roman" w:hAnsiTheme="minorHAnsi" w:cstheme="minorHAnsi"/>
                <w:color w:val="000000"/>
                <w:sz w:val="22"/>
              </w:rPr>
              <w:t>Withdrawal times</w:t>
            </w:r>
          </w:p>
        </w:tc>
        <w:tc>
          <w:tcPr>
            <w:tcW w:w="3273" w:type="dxa"/>
            <w:hideMark/>
          </w:tcPr>
          <w:p w14:paraId="63C232BA" w14:textId="77777777" w:rsidR="008F644A" w:rsidRPr="008F644A" w:rsidRDefault="008F644A" w:rsidP="008F644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8F644A">
              <w:rPr>
                <w:rFonts w:asciiTheme="minorHAnsi" w:eastAsia="Times New Roman" w:hAnsiTheme="minorHAnsi" w:cstheme="minorHAnsi"/>
                <w:color w:val="000000"/>
                <w:sz w:val="22"/>
              </w:rPr>
              <w:t>Precautions</w:t>
            </w:r>
          </w:p>
        </w:tc>
      </w:tr>
      <w:tr w:rsidR="001C5F41" w:rsidRPr="001C5F41" w14:paraId="0A79B3DF" w14:textId="77777777" w:rsidTr="001C5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hideMark/>
          </w:tcPr>
          <w:p w14:paraId="7040FE47" w14:textId="77777777" w:rsidR="008F644A" w:rsidRPr="001C5F41" w:rsidRDefault="008F644A" w:rsidP="008F644A">
            <w:pPr>
              <w:rPr>
                <w:rFonts w:asciiTheme="minorHAnsi" w:eastAsia="Times New Roman" w:hAnsiTheme="minorHAnsi" w:cstheme="minorHAnsi"/>
                <w:sz w:val="22"/>
              </w:rPr>
            </w:pPr>
            <w:bookmarkStart w:id="0" w:name="_GoBack"/>
            <w:r w:rsidRPr="001C5F41">
              <w:rPr>
                <w:rFonts w:asciiTheme="minorHAnsi" w:eastAsia="Times New Roman" w:hAnsiTheme="minorHAnsi" w:cstheme="minorHAnsi"/>
                <w:sz w:val="22"/>
              </w:rPr>
              <w:t>Tetanus Antitoxin</w:t>
            </w:r>
            <w:bookmarkEnd w:id="0"/>
            <w:r w:rsidRPr="001C5F41">
              <w:rPr>
                <w:rFonts w:asciiTheme="minorHAnsi" w:eastAsia="Times New Roman" w:hAnsiTheme="minorHAnsi" w:cstheme="minorHAnsi"/>
                <w:sz w:val="22"/>
              </w:rPr>
              <w:t>,</w:t>
            </w:r>
          </w:p>
          <w:p w14:paraId="4AAC70AA" w14:textId="156C212A" w:rsidR="008F644A" w:rsidRPr="001C5F41" w:rsidRDefault="008F644A" w:rsidP="008F644A">
            <w:pPr>
              <w:rPr>
                <w:rFonts w:asciiTheme="minorHAnsi" w:eastAsia="Times New Roman" w:hAnsiTheme="minorHAnsi" w:cstheme="minorHAnsi"/>
                <w:sz w:val="22"/>
              </w:rPr>
            </w:pPr>
            <w:r w:rsidRPr="001C5F41">
              <w:rPr>
                <w:rFonts w:asciiTheme="minorHAnsi" w:eastAsia="Times New Roman" w:hAnsiTheme="minorHAnsi" w:cstheme="minorHAnsi"/>
                <w:sz w:val="22"/>
              </w:rPr>
              <w:t>Equine Origin</w:t>
            </w:r>
          </w:p>
          <w:p w14:paraId="27566330" w14:textId="429BA5C0" w:rsidR="008F644A" w:rsidRPr="001C5F41" w:rsidRDefault="008F644A" w:rsidP="008F644A">
            <w:pPr>
              <w:rPr>
                <w:rFonts w:asciiTheme="minorHAnsi" w:eastAsia="Times New Roman" w:hAnsiTheme="minorHAnsi" w:cstheme="minorHAnsi"/>
                <w:sz w:val="22"/>
              </w:rPr>
            </w:pPr>
          </w:p>
          <w:p w14:paraId="705F814F" w14:textId="4740A0F8" w:rsidR="008F644A" w:rsidRPr="001C5F41" w:rsidRDefault="008F644A" w:rsidP="008F644A">
            <w:pPr>
              <w:rPr>
                <w:rFonts w:asciiTheme="minorHAnsi" w:eastAsia="Times New Roman" w:hAnsiTheme="minorHAnsi" w:cstheme="minorHAnsi"/>
                <w:sz w:val="22"/>
              </w:rPr>
            </w:pPr>
            <w:r w:rsidRPr="001C5F41">
              <w:rPr>
                <w:rFonts w:asciiTheme="minorHAnsi" w:eastAsia="Times New Roman" w:hAnsiTheme="minorHAnsi" w:cstheme="minorHAnsi"/>
                <w:noProof/>
                <w:sz w:val="22"/>
              </w:rPr>
              <w:drawing>
                <wp:anchor distT="0" distB="0" distL="114300" distR="114300" simplePos="0" relativeHeight="251658240" behindDoc="1" locked="0" layoutInCell="1" allowOverlap="1" wp14:anchorId="7D948CA0" wp14:editId="518FC512">
                  <wp:simplePos x="0" y="0"/>
                  <wp:positionH relativeFrom="column">
                    <wp:posOffset>41862</wp:posOffset>
                  </wp:positionH>
                  <wp:positionV relativeFrom="paragraph">
                    <wp:posOffset>31786</wp:posOffset>
                  </wp:positionV>
                  <wp:extent cx="1095084" cy="1301415"/>
                  <wp:effectExtent l="0" t="0" r="0" b="0"/>
                  <wp:wrapTight wrapText="bothSides">
                    <wp:wrapPolygon edited="0">
                      <wp:start x="0" y="0"/>
                      <wp:lineTo x="0" y="21189"/>
                      <wp:lineTo x="21049" y="21189"/>
                      <wp:lineTo x="210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14370" t="9582" r="15413" b="10107"/>
                          <a:stretch/>
                        </pic:blipFill>
                        <pic:spPr bwMode="auto">
                          <a:xfrm>
                            <a:off x="0" y="0"/>
                            <a:ext cx="1095084" cy="1301415"/>
                          </a:xfrm>
                          <a:prstGeom prst="rect">
                            <a:avLst/>
                          </a:prstGeom>
                          <a:noFill/>
                          <a:ln>
                            <a:noFill/>
                          </a:ln>
                          <a:extLst>
                            <a:ext uri="{53640926-AAD7-44D8-BBD7-CCE9431645EC}">
                              <a14:shadowObscured xmlns:a14="http://schemas.microsoft.com/office/drawing/2010/main"/>
                            </a:ext>
                          </a:extLst>
                        </pic:spPr>
                      </pic:pic>
                    </a:graphicData>
                  </a:graphic>
                </wp:anchor>
              </w:drawing>
            </w:r>
          </w:p>
          <w:p w14:paraId="1E1E8315" w14:textId="1B41D2CC" w:rsidR="008F644A" w:rsidRPr="001C5F41" w:rsidRDefault="008F644A" w:rsidP="008F644A">
            <w:pPr>
              <w:rPr>
                <w:rFonts w:asciiTheme="minorHAnsi" w:eastAsia="Times New Roman" w:hAnsiTheme="minorHAnsi" w:cstheme="minorHAnsi"/>
                <w:sz w:val="22"/>
              </w:rPr>
            </w:pPr>
          </w:p>
          <w:p w14:paraId="367A8D8A" w14:textId="77777777" w:rsidR="008F644A" w:rsidRPr="001C5F41" w:rsidRDefault="008F644A" w:rsidP="008F644A">
            <w:pPr>
              <w:rPr>
                <w:rFonts w:asciiTheme="minorHAnsi" w:eastAsia="Times New Roman" w:hAnsiTheme="minorHAnsi" w:cstheme="minorHAnsi"/>
                <w:sz w:val="22"/>
              </w:rPr>
            </w:pPr>
          </w:p>
          <w:p w14:paraId="06958FBD" w14:textId="1397829D" w:rsidR="008F644A" w:rsidRPr="008F644A" w:rsidRDefault="008F644A" w:rsidP="008F644A">
            <w:pPr>
              <w:rPr>
                <w:rFonts w:asciiTheme="minorHAnsi" w:eastAsia="Times New Roman" w:hAnsiTheme="minorHAnsi" w:cstheme="minorHAnsi"/>
                <w:sz w:val="22"/>
              </w:rPr>
            </w:pPr>
          </w:p>
        </w:tc>
        <w:tc>
          <w:tcPr>
            <w:tcW w:w="1403" w:type="dxa"/>
            <w:hideMark/>
          </w:tcPr>
          <w:p w14:paraId="32B80B7F" w14:textId="3A4B27CE" w:rsidR="008F644A" w:rsidRPr="008F644A" w:rsidRDefault="008F644A" w:rsidP="008F644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F644A">
              <w:rPr>
                <w:rFonts w:eastAsia="Times New Roman" w:cstheme="minorHAnsi"/>
                <w:color w:val="000000"/>
              </w:rPr>
              <w:t> </w:t>
            </w:r>
            <w:r w:rsidR="00481789" w:rsidRPr="001C5F41">
              <w:rPr>
                <w:rFonts w:eastAsia="Times New Roman" w:cstheme="minorHAnsi"/>
                <w:color w:val="000000"/>
              </w:rPr>
              <w:t xml:space="preserve">Prophylactic treatment  </w:t>
            </w:r>
          </w:p>
        </w:tc>
        <w:tc>
          <w:tcPr>
            <w:tcW w:w="1229" w:type="dxa"/>
            <w:hideMark/>
          </w:tcPr>
          <w:p w14:paraId="6391E6AD" w14:textId="5EFE2053" w:rsidR="00481789" w:rsidRPr="008F644A" w:rsidRDefault="00B702EC" w:rsidP="008F644A">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C5F41">
              <w:rPr>
                <w:rFonts w:eastAsia="Times New Roman" w:cstheme="minorHAnsi"/>
              </w:rPr>
              <w:t>Provides quick, short-term protection against tetanus</w:t>
            </w:r>
            <w:r w:rsidRPr="001C5F41">
              <w:rPr>
                <w:rFonts w:eastAsia="Times New Roman" w:cstheme="minorHAnsi"/>
              </w:rPr>
              <w:t xml:space="preserve"> </w:t>
            </w:r>
            <w:r w:rsidR="00481789" w:rsidRPr="001C5F41">
              <w:rPr>
                <w:rFonts w:eastAsia="Times New Roman" w:cstheme="minorHAnsi"/>
              </w:rPr>
              <w:t xml:space="preserve">Clostridium tetani </w:t>
            </w:r>
          </w:p>
        </w:tc>
        <w:tc>
          <w:tcPr>
            <w:tcW w:w="1513" w:type="dxa"/>
            <w:hideMark/>
          </w:tcPr>
          <w:p w14:paraId="4527DF1E" w14:textId="77777777" w:rsidR="00B702EC" w:rsidRPr="001C5F41" w:rsidRDefault="00481789" w:rsidP="008F64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hd w:val="clear" w:color="auto" w:fill="FFFFFF"/>
              </w:rPr>
            </w:pPr>
            <w:r w:rsidRPr="001C5F41">
              <w:rPr>
                <w:rFonts w:eastAsia="Times New Roman" w:cstheme="minorHAnsi"/>
                <w:color w:val="222222"/>
                <w:shd w:val="clear" w:color="auto" w:fill="FFFFFF"/>
              </w:rPr>
              <w:t>Neutralization of tetanus toxin. Tetanus antiserum provides temporary passive immunity against tetanus for 2 weeks</w:t>
            </w:r>
            <w:r w:rsidR="00B702EC" w:rsidRPr="001C5F41">
              <w:rPr>
                <w:rFonts w:eastAsia="Times New Roman" w:cstheme="minorHAnsi"/>
                <w:color w:val="222222"/>
                <w:shd w:val="clear" w:color="auto" w:fill="FFFFFF"/>
              </w:rPr>
              <w:t>.</w:t>
            </w:r>
          </w:p>
          <w:p w14:paraId="6F4B567B" w14:textId="1EF5576E" w:rsidR="008F644A" w:rsidRPr="008F644A" w:rsidRDefault="00B702EC" w:rsidP="008F644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C5F41">
              <w:rPr>
                <w:rFonts w:eastAsia="Times New Roman" w:cstheme="minorHAnsi"/>
                <w:color w:val="222222"/>
                <w:shd w:val="clear" w:color="auto" w:fill="FFFFFF"/>
              </w:rPr>
              <w:t>Tetanus Antitoxin, Equine Origin is recommended for use whenever a non-immunized animal, or one whose immune status is unknown, suffers a deep penetrating wound that has or may become contaminated with soil. It provides quick but short-</w:t>
            </w:r>
            <w:r w:rsidRPr="001C5F41">
              <w:rPr>
                <w:rFonts w:eastAsia="Times New Roman" w:cstheme="minorHAnsi"/>
                <w:color w:val="222222"/>
                <w:shd w:val="clear" w:color="auto" w:fill="FFFFFF"/>
              </w:rPr>
              <w:lastRenderedPageBreak/>
              <w:t>term protection.</w:t>
            </w:r>
          </w:p>
        </w:tc>
        <w:tc>
          <w:tcPr>
            <w:tcW w:w="1841" w:type="dxa"/>
            <w:hideMark/>
          </w:tcPr>
          <w:p w14:paraId="194F9037" w14:textId="27882F64" w:rsidR="00B702EC" w:rsidRPr="001C5F41" w:rsidRDefault="00B702EC" w:rsidP="00B702EC">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C5F41">
              <w:rPr>
                <w:rFonts w:eastAsia="Times New Roman" w:cstheme="minorHAnsi"/>
              </w:rPr>
              <w:lastRenderedPageBreak/>
              <w:t xml:space="preserve">For treatment administer 10,000 to 50,000 units to horses and cattle; 3,000 to 15,000 units to sheep and swine; 4,500 units per goat regardless of size or age. Animals that suffer slow healing puncture wounds or deep abrasions should be given a second dose of antitoxin in seven (7) days and additionally as considered necessary. Confers immediate passive immunity lasting about 7-14 days. 1,500 units </w:t>
            </w:r>
          </w:p>
          <w:p w14:paraId="1C5C485A" w14:textId="77777777" w:rsidR="00B702EC" w:rsidRPr="001C5F41" w:rsidRDefault="00B702EC" w:rsidP="00B702EC">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3841B282" w14:textId="773060AD" w:rsidR="008F644A" w:rsidRPr="008F644A" w:rsidRDefault="008F644A" w:rsidP="00B702EC">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hideMark/>
          </w:tcPr>
          <w:p w14:paraId="4B69E896" w14:textId="63BA1543" w:rsidR="008F644A" w:rsidRPr="008F644A" w:rsidRDefault="00481789" w:rsidP="008F644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C5F41">
              <w:rPr>
                <w:rFonts w:eastAsia="Times New Roman" w:cstheme="minorHAnsi"/>
              </w:rPr>
              <w:t>SQ or IM</w:t>
            </w:r>
          </w:p>
        </w:tc>
        <w:tc>
          <w:tcPr>
            <w:tcW w:w="1203" w:type="dxa"/>
            <w:hideMark/>
          </w:tcPr>
          <w:p w14:paraId="390CA7A5" w14:textId="4B9E8FE3" w:rsidR="008F644A" w:rsidRPr="008F644A" w:rsidRDefault="001C5F41" w:rsidP="008F644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H</w:t>
            </w:r>
            <w:r w:rsidR="00B702EC" w:rsidRPr="001C5F41">
              <w:rPr>
                <w:rFonts w:eastAsia="Times New Roman" w:cstheme="minorHAnsi"/>
              </w:rPr>
              <w:t>ypersensitivity reactions, anaphylactic shock</w:t>
            </w:r>
          </w:p>
        </w:tc>
        <w:tc>
          <w:tcPr>
            <w:tcW w:w="1374" w:type="dxa"/>
            <w:hideMark/>
          </w:tcPr>
          <w:p w14:paraId="5C852BCF" w14:textId="24E3C147" w:rsidR="008F644A" w:rsidRPr="008F644A" w:rsidRDefault="008F644A" w:rsidP="008F644A">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C5F41">
              <w:rPr>
                <w:rFonts w:eastAsia="Times New Roman" w:cstheme="minorHAnsi"/>
              </w:rPr>
              <w:t>Animals must not be slaughter for human consumption until 21 days after treatment.</w:t>
            </w:r>
          </w:p>
        </w:tc>
        <w:tc>
          <w:tcPr>
            <w:tcW w:w="3273" w:type="dxa"/>
            <w:hideMark/>
          </w:tcPr>
          <w:p w14:paraId="7BEE9291" w14:textId="640CCFA6" w:rsidR="008F644A" w:rsidRPr="008F644A" w:rsidRDefault="008F644A" w:rsidP="008F644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C5F41">
              <w:rPr>
                <w:rFonts w:eastAsia="Times New Roman" w:cstheme="minorHAnsi"/>
              </w:rPr>
              <w:t>Anaphylactoid reaction may occur following administration of products of this nature. If noted, administer adrenalin or equivalent. A condition referred to as “serum hepatitis” infrequently occurs in horses. The literature associates this partially with the injection of biologics containing equine serum or tissue. This connection is based, at the present time, upon supposition and not upon scientific evidence, as efforts to experimentally reproduce such a condition in horses have not been successful. It seems prudent, however, in view of the published implication, to make users aware of it. Some of the same publications, that refer to “serum hepatitis” continue to recommend the use of Tetanus Antitoxin in horses that have suffered wounds that may have been contaminated with Clostridium tetani and the immunization status is unknown.</w:t>
            </w:r>
          </w:p>
        </w:tc>
      </w:tr>
    </w:tbl>
    <w:p w14:paraId="5F58081C" w14:textId="77777777" w:rsidR="008F644A" w:rsidRPr="008F644A" w:rsidRDefault="008F644A" w:rsidP="008F644A">
      <w:pPr>
        <w:spacing w:after="0" w:line="240" w:lineRule="auto"/>
        <w:rPr>
          <w:rFonts w:eastAsia="Times New Roman" w:cstheme="minorHAnsi"/>
        </w:rPr>
      </w:pPr>
    </w:p>
    <w:p w14:paraId="3157A079" w14:textId="77777777" w:rsidR="008F644A" w:rsidRPr="001C5F41" w:rsidRDefault="008F644A">
      <w:pPr>
        <w:rPr>
          <w:rFonts w:cstheme="minorHAnsi"/>
        </w:rPr>
      </w:pPr>
    </w:p>
    <w:sectPr w:rsidR="008F644A" w:rsidRPr="001C5F41" w:rsidSect="008F644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4A"/>
    <w:rsid w:val="001C5F41"/>
    <w:rsid w:val="00481789"/>
    <w:rsid w:val="008F644A"/>
    <w:rsid w:val="00B7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3FB973"/>
  <w15:chartTrackingRefBased/>
  <w15:docId w15:val="{8557F250-CC66-4136-92A0-16B71EE1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1C5F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80550">
      <w:bodyDiv w:val="1"/>
      <w:marLeft w:val="0"/>
      <w:marRight w:val="0"/>
      <w:marTop w:val="0"/>
      <w:marBottom w:val="0"/>
      <w:divBdr>
        <w:top w:val="none" w:sz="0" w:space="0" w:color="auto"/>
        <w:left w:val="none" w:sz="0" w:space="0" w:color="auto"/>
        <w:bottom w:val="none" w:sz="0" w:space="0" w:color="auto"/>
        <w:right w:val="none" w:sz="0" w:space="0" w:color="auto"/>
      </w:divBdr>
      <w:divsChild>
        <w:div w:id="1764716701">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1</cp:revision>
  <dcterms:created xsi:type="dcterms:W3CDTF">2019-09-07T20:45:00Z</dcterms:created>
  <dcterms:modified xsi:type="dcterms:W3CDTF">2019-09-07T21:18:00Z</dcterms:modified>
</cp:coreProperties>
</file>