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38" w:rsidRPr="00E0788F" w:rsidRDefault="001B4138" w:rsidP="001B4138">
      <w:pPr>
        <w:spacing w:after="0" w:line="240" w:lineRule="auto"/>
        <w:outlineLvl w:val="0"/>
        <w:rPr>
          <w:b/>
        </w:rPr>
      </w:pPr>
      <w:r w:rsidRPr="00E0788F">
        <w:rPr>
          <w:b/>
        </w:rPr>
        <w:t>QSEN</w:t>
      </w:r>
    </w:p>
    <w:p w:rsidR="001B4138" w:rsidRPr="00E0788F" w:rsidRDefault="001B4138" w:rsidP="001B4138">
      <w:pPr>
        <w:numPr>
          <w:ilvl w:val="0"/>
          <w:numId w:val="1"/>
        </w:numPr>
        <w:spacing w:after="0" w:line="240" w:lineRule="auto"/>
        <w:rPr>
          <w:b/>
        </w:rPr>
      </w:pPr>
      <w:r w:rsidRPr="00E0788F">
        <w:t>Patient-Centered Care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Practice Management Systems</w:t>
      </w:r>
      <w:r w:rsidRPr="00E0788F">
        <w:t xml:space="preserve">, p. </w:t>
      </w:r>
      <w:r>
        <w:rPr>
          <w:rFonts w:cs="Univers-BoldOblique"/>
          <w:bCs/>
          <w:iCs/>
        </w:rPr>
        <w:t>119</w:t>
      </w:r>
    </w:p>
    <w:p w:rsidR="001B4138" w:rsidRPr="00E0788F" w:rsidRDefault="001B4138" w:rsidP="001B4138">
      <w:pPr>
        <w:numPr>
          <w:ilvl w:val="0"/>
          <w:numId w:val="1"/>
        </w:numPr>
        <w:spacing w:after="0" w:line="240" w:lineRule="auto"/>
        <w:rPr>
          <w:b/>
        </w:rPr>
      </w:pPr>
      <w:r w:rsidRPr="00E0788F">
        <w:t>Teamwork and Collaboration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Vendor Resource Guides</w:t>
      </w:r>
      <w:r w:rsidRPr="00E0788F">
        <w:t xml:space="preserve">, p. </w:t>
      </w:r>
      <w:r>
        <w:t>112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Major Types of Applications</w:t>
      </w:r>
      <w:r w:rsidRPr="00E0788F">
        <w:t xml:space="preserve">, p. </w:t>
      </w:r>
      <w:r>
        <w:t>112</w:t>
      </w:r>
    </w:p>
    <w:p w:rsidR="001B4138" w:rsidRPr="00E0788F" w:rsidRDefault="001B4138" w:rsidP="001B4138">
      <w:pPr>
        <w:numPr>
          <w:ilvl w:val="0"/>
          <w:numId w:val="1"/>
        </w:numPr>
        <w:spacing w:after="0" w:line="240" w:lineRule="auto"/>
        <w:rPr>
          <w:b/>
        </w:rPr>
      </w:pPr>
      <w:r w:rsidRPr="00E0788F">
        <w:t>Evidence-Based Practice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Major Types of Applications</w:t>
      </w:r>
      <w:r w:rsidRPr="00E0788F">
        <w:t xml:space="preserve">, p. </w:t>
      </w:r>
      <w:r>
        <w:t>112</w:t>
      </w:r>
    </w:p>
    <w:p w:rsidR="001B4138" w:rsidRPr="00E0788F" w:rsidRDefault="001B4138" w:rsidP="001B4138">
      <w:pPr>
        <w:numPr>
          <w:ilvl w:val="0"/>
          <w:numId w:val="1"/>
        </w:numPr>
        <w:spacing w:after="0" w:line="240" w:lineRule="auto"/>
        <w:rPr>
          <w:b/>
        </w:rPr>
      </w:pPr>
      <w:r w:rsidRPr="00E0788F">
        <w:t>Quality Improvement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Vendor Resource Guides</w:t>
      </w:r>
      <w:r w:rsidRPr="00E0788F">
        <w:t xml:space="preserve">, p. </w:t>
      </w:r>
      <w:r>
        <w:t>112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Major Types of Applications</w:t>
      </w:r>
      <w:r w:rsidRPr="00E0788F">
        <w:t xml:space="preserve">, p. </w:t>
      </w:r>
      <w:r>
        <w:t>112</w:t>
      </w:r>
    </w:p>
    <w:p w:rsidR="001B4138" w:rsidRPr="00E0788F" w:rsidRDefault="001B4138" w:rsidP="001B4138">
      <w:pPr>
        <w:numPr>
          <w:ilvl w:val="0"/>
          <w:numId w:val="1"/>
        </w:numPr>
        <w:spacing w:after="0" w:line="240" w:lineRule="auto"/>
      </w:pPr>
      <w:r w:rsidRPr="00E0788F">
        <w:t>Safety</w:t>
      </w:r>
    </w:p>
    <w:p w:rsidR="001B4138" w:rsidRPr="00E0788F" w:rsidRDefault="001B4138" w:rsidP="001B4138">
      <w:pPr>
        <w:numPr>
          <w:ilvl w:val="1"/>
          <w:numId w:val="1"/>
        </w:numPr>
        <w:spacing w:after="0" w:line="240" w:lineRule="auto"/>
        <w:rPr>
          <w:b/>
        </w:rPr>
      </w:pPr>
      <w:r w:rsidRPr="00E0788F">
        <w:rPr>
          <w:bCs/>
        </w:rPr>
        <w:t>Practice Management Systems</w:t>
      </w:r>
      <w:r w:rsidRPr="00E0788F">
        <w:t xml:space="preserve">, p. </w:t>
      </w:r>
      <w:r>
        <w:rPr>
          <w:rFonts w:cs="Univers-BoldOblique"/>
          <w:bCs/>
          <w:iCs/>
        </w:rPr>
        <w:t>119</w:t>
      </w:r>
    </w:p>
    <w:p w:rsidR="001B4138" w:rsidRPr="00E0788F" w:rsidRDefault="001B4138" w:rsidP="001B4138">
      <w:pPr>
        <w:numPr>
          <w:ilvl w:val="0"/>
          <w:numId w:val="1"/>
        </w:numPr>
        <w:spacing w:after="0" w:line="240" w:lineRule="auto"/>
      </w:pPr>
      <w:r w:rsidRPr="00E0788F">
        <w:t>Informatics</w:t>
      </w:r>
      <w:r>
        <w:br/>
      </w:r>
      <w:bookmarkStart w:id="0" w:name="_GoBack"/>
      <w:bookmarkEnd w:id="0"/>
    </w:p>
    <w:p w:rsidR="001B4138" w:rsidRPr="00B46BFF" w:rsidRDefault="001B4138" w:rsidP="001B4138">
      <w:pPr>
        <w:numPr>
          <w:ilvl w:val="0"/>
          <w:numId w:val="1"/>
        </w:numPr>
        <w:spacing w:after="0" w:line="240" w:lineRule="auto"/>
      </w:pPr>
      <w:r w:rsidRPr="00B46BFF">
        <w:t>Patient-Centered Care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Leading Telehealth Organizations</w:t>
      </w:r>
      <w:r w:rsidRPr="00B46BFF">
        <w:t xml:space="preserve">, p. </w:t>
      </w:r>
      <w:r>
        <w:t>133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Confidentiality, Privacy, and Informed Patients</w:t>
      </w:r>
      <w:r w:rsidRPr="00B46BFF">
        <w:t xml:space="preserve">, p. </w:t>
      </w:r>
      <w:r>
        <w:t>137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Telehealth Acceptance and Training, p. </w:t>
      </w:r>
      <w:r>
        <w:rPr>
          <w:bCs/>
        </w:rPr>
        <w:t>139</w:t>
      </w:r>
    </w:p>
    <w:p w:rsidR="001B4138" w:rsidRPr="00B46BFF" w:rsidRDefault="001B4138" w:rsidP="001B4138">
      <w:pPr>
        <w:numPr>
          <w:ilvl w:val="0"/>
          <w:numId w:val="1"/>
        </w:numPr>
        <w:spacing w:after="0" w:line="240" w:lineRule="auto"/>
      </w:pPr>
      <w:r w:rsidRPr="00B46BFF">
        <w:t>Teamwork and Collaboration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Examples of Successful Telehealth Programs</w:t>
      </w:r>
      <w:r w:rsidRPr="00B46BFF">
        <w:t xml:space="preserve">, p. </w:t>
      </w:r>
      <w:r>
        <w:t>132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Technical Standards in Telehealth</w:t>
      </w:r>
      <w:r w:rsidRPr="00B46BFF">
        <w:t xml:space="preserve">, p. </w:t>
      </w:r>
      <w:r>
        <w:t>136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Telehealth Implementation, p. </w:t>
      </w:r>
      <w:r>
        <w:rPr>
          <w:bCs/>
        </w:rPr>
        <w:t>141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Telehealth Industry Growth, p. </w:t>
      </w:r>
      <w:r>
        <w:rPr>
          <w:bCs/>
        </w:rPr>
        <w:t>148</w:t>
      </w:r>
    </w:p>
    <w:p w:rsidR="001B4138" w:rsidRPr="00B46BFF" w:rsidRDefault="001B4138" w:rsidP="001B4138">
      <w:pPr>
        <w:numPr>
          <w:ilvl w:val="0"/>
          <w:numId w:val="1"/>
        </w:numPr>
        <w:spacing w:after="0" w:line="240" w:lineRule="auto"/>
      </w:pPr>
      <w:r w:rsidRPr="00B46BFF">
        <w:t>Evidence-Based Practice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Equal to or Better Than In-Person Care?</w:t>
      </w:r>
      <w:r w:rsidRPr="00B46BFF">
        <w:t xml:space="preserve"> p. </w:t>
      </w:r>
      <w:r>
        <w:t>137</w:t>
      </w:r>
    </w:p>
    <w:p w:rsidR="001B4138" w:rsidRPr="00B46BFF" w:rsidRDefault="001B4138" w:rsidP="001B4138">
      <w:pPr>
        <w:numPr>
          <w:ilvl w:val="0"/>
          <w:numId w:val="1"/>
        </w:numPr>
        <w:spacing w:after="0" w:line="240" w:lineRule="auto"/>
      </w:pPr>
      <w:r w:rsidRPr="00B46BFF">
        <w:t>Quality Improvement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Technical Standards in Telehealth</w:t>
      </w:r>
      <w:r w:rsidRPr="00B46BFF">
        <w:t xml:space="preserve">, p. </w:t>
      </w:r>
      <w:r>
        <w:t>136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Telehealth Clinical Competency, p. </w:t>
      </w:r>
      <w:r>
        <w:rPr>
          <w:bCs/>
        </w:rPr>
        <w:t>137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B.E.L.T. Framework, p. </w:t>
      </w:r>
      <w:r>
        <w:rPr>
          <w:bCs/>
        </w:rPr>
        <w:t>138</w:t>
      </w:r>
    </w:p>
    <w:p w:rsidR="001B4138" w:rsidRPr="00B46BFF" w:rsidRDefault="001B4138" w:rsidP="001B4138">
      <w:pPr>
        <w:numPr>
          <w:ilvl w:val="0"/>
          <w:numId w:val="1"/>
        </w:numPr>
        <w:spacing w:after="0" w:line="240" w:lineRule="auto"/>
      </w:pPr>
      <w:r w:rsidRPr="00B46BFF">
        <w:t>Safety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Technical Standards in Telehealth</w:t>
      </w:r>
      <w:r w:rsidRPr="00B46BFF">
        <w:t xml:space="preserve">, p. </w:t>
      </w:r>
      <w:r>
        <w:t>136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Telehealth Clinical Competency, p. </w:t>
      </w:r>
      <w:r>
        <w:rPr>
          <w:bCs/>
        </w:rPr>
        <w:t>137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B.E.L.T. Framework, p. </w:t>
      </w:r>
      <w:r>
        <w:rPr>
          <w:bCs/>
        </w:rPr>
        <w:t>138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Telehealth Acceptance and Training, p. </w:t>
      </w:r>
      <w:r>
        <w:rPr>
          <w:bCs/>
        </w:rPr>
        <w:t>139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 xml:space="preserve">Malpractice and Liability, p. </w:t>
      </w:r>
      <w:r>
        <w:rPr>
          <w:bCs/>
        </w:rPr>
        <w:t>144</w:t>
      </w:r>
    </w:p>
    <w:p w:rsidR="001B4138" w:rsidRPr="00B46BFF" w:rsidRDefault="001B4138" w:rsidP="001B4138">
      <w:pPr>
        <w:numPr>
          <w:ilvl w:val="0"/>
          <w:numId w:val="1"/>
        </w:numPr>
        <w:spacing w:after="0" w:line="240" w:lineRule="auto"/>
      </w:pPr>
      <w:r w:rsidRPr="00B46BFF">
        <w:t>Informatics</w:t>
      </w:r>
    </w:p>
    <w:p w:rsidR="001B4138" w:rsidRPr="00B46BFF" w:rsidRDefault="001B4138" w:rsidP="001B4138">
      <w:pPr>
        <w:numPr>
          <w:ilvl w:val="1"/>
          <w:numId w:val="1"/>
        </w:numPr>
        <w:spacing w:after="0" w:line="240" w:lineRule="auto"/>
      </w:pPr>
      <w:r w:rsidRPr="00B46BFF">
        <w:rPr>
          <w:bCs/>
        </w:rPr>
        <w:t>Synchronous or “Real-Time” Technology</w:t>
      </w:r>
      <w:r w:rsidRPr="00B46BFF">
        <w:t xml:space="preserve">, p. </w:t>
      </w:r>
      <w:r>
        <w:t>134</w:t>
      </w:r>
    </w:p>
    <w:p w:rsidR="00F95FC1" w:rsidRPr="001B4138" w:rsidRDefault="00F95FC1" w:rsidP="001B4138"/>
    <w:sectPr w:rsidR="00F95FC1" w:rsidRPr="001B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605"/>
    <w:multiLevelType w:val="hybridMultilevel"/>
    <w:tmpl w:val="991C6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56975"/>
    <w:multiLevelType w:val="multilevel"/>
    <w:tmpl w:val="830497B0"/>
    <w:styleLink w:val="TEACHListBullets"/>
    <w:lvl w:ilvl="0">
      <w:start w:val="1"/>
      <w:numFmt w:val="bullet"/>
      <w:pStyle w:val="05bBulletedList1TEACH"/>
      <w:lvlText w:val=""/>
      <w:lvlJc w:val="left"/>
      <w:pPr>
        <w:ind w:left="216" w:hanging="187"/>
      </w:pPr>
      <w:rPr>
        <w:rFonts w:ascii="Symbol" w:hAnsi="Symbol" w:hint="default"/>
      </w:rPr>
    </w:lvl>
    <w:lvl w:ilvl="1">
      <w:start w:val="1"/>
      <w:numFmt w:val="bullet"/>
      <w:pStyle w:val="05cBulletedList2TEACH"/>
      <w:lvlText w:val=""/>
      <w:lvlJc w:val="left"/>
      <w:pPr>
        <w:ind w:left="576" w:hanging="21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96" w:hanging="21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656" w:hanging="216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16" w:hanging="216"/>
      </w:pPr>
      <w:rPr>
        <w:rFonts w:hint="default"/>
      </w:rPr>
    </w:lvl>
    <w:lvl w:ilvl="6">
      <w:start w:val="1"/>
      <w:numFmt w:val="none"/>
      <w:lvlText w:val="%7"/>
      <w:lvlJc w:val="left"/>
      <w:pPr>
        <w:ind w:left="2376" w:hanging="216"/>
      </w:pPr>
      <w:rPr>
        <w:rFonts w:hint="default"/>
      </w:rPr>
    </w:lvl>
    <w:lvl w:ilvl="7">
      <w:start w:val="1"/>
      <w:numFmt w:val="none"/>
      <w:lvlText w:val="%8"/>
      <w:lvlJc w:val="left"/>
      <w:pPr>
        <w:ind w:left="2736" w:hanging="216"/>
      </w:pPr>
      <w:rPr>
        <w:rFonts w:hint="default"/>
      </w:rPr>
    </w:lvl>
    <w:lvl w:ilvl="8">
      <w:start w:val="1"/>
      <w:numFmt w:val="none"/>
      <w:lvlText w:val="%9"/>
      <w:lvlJc w:val="left"/>
      <w:pPr>
        <w:ind w:left="3096" w:hanging="2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C1"/>
    <w:rsid w:val="001B4138"/>
    <w:rsid w:val="006B3DBA"/>
    <w:rsid w:val="00712261"/>
    <w:rsid w:val="00861831"/>
    <w:rsid w:val="008D542F"/>
    <w:rsid w:val="00F9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1C9C"/>
  <w15:chartTrackingRefBased/>
  <w15:docId w15:val="{FC0F9418-3141-4F7C-BE58-6672F187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42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BulletedList1TEACH">
    <w:name w:val="05b Bulleted List #1 (TEACH)"/>
    <w:basedOn w:val="ListBullet"/>
    <w:rsid w:val="00712261"/>
    <w:pPr>
      <w:spacing w:after="0" w:line="240" w:lineRule="auto"/>
      <w:ind w:left="720"/>
    </w:pPr>
    <w:rPr>
      <w:rFonts w:ascii="Arial" w:eastAsia="Times New Roman" w:hAnsi="Arial"/>
      <w:sz w:val="20"/>
      <w:szCs w:val="24"/>
    </w:rPr>
  </w:style>
  <w:style w:type="paragraph" w:customStyle="1" w:styleId="05cBulletedList2TEACH">
    <w:name w:val="05c Bulleted List #2 (TEACH)"/>
    <w:basedOn w:val="ListBullet2"/>
    <w:rsid w:val="00712261"/>
    <w:pPr>
      <w:numPr>
        <w:ilvl w:val="1"/>
        <w:numId w:val="2"/>
      </w:numPr>
      <w:spacing w:after="0" w:line="240" w:lineRule="auto"/>
      <w:ind w:left="216" w:hanging="187"/>
    </w:pPr>
    <w:rPr>
      <w:rFonts w:ascii="Arial" w:eastAsia="Times New Roman" w:hAnsi="Arial"/>
      <w:sz w:val="20"/>
      <w:szCs w:val="24"/>
    </w:rPr>
  </w:style>
  <w:style w:type="numbering" w:customStyle="1" w:styleId="TEACHListBullets">
    <w:name w:val="TEACHListBullets"/>
    <w:uiPriority w:val="99"/>
    <w:rsid w:val="00712261"/>
    <w:pPr>
      <w:numPr>
        <w:numId w:val="2"/>
      </w:numPr>
    </w:pPr>
  </w:style>
  <w:style w:type="paragraph" w:styleId="ListBullet">
    <w:name w:val="List Bullet"/>
    <w:basedOn w:val="Normal"/>
    <w:uiPriority w:val="99"/>
    <w:semiHidden/>
    <w:unhideWhenUsed/>
    <w:rsid w:val="00712261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12261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Yensen</dc:creator>
  <cp:keywords/>
  <dc:description/>
  <cp:lastModifiedBy>Jack Yensen</cp:lastModifiedBy>
  <cp:revision>2</cp:revision>
  <dcterms:created xsi:type="dcterms:W3CDTF">2017-10-18T16:52:00Z</dcterms:created>
  <dcterms:modified xsi:type="dcterms:W3CDTF">2017-10-18T16:52:00Z</dcterms:modified>
</cp:coreProperties>
</file>