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CASE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Intra-Op Measures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Aim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completely remove the horns of an animal and cover the site with surrounding skin to give the appearance of a polled animal.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Potential Issues For Cosmetic Dehorning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skin may not fully cover the incision.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Due to how close together the horns may be, the incisions made may communicate, leaving a larger than intended incision. 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Risks or Contraindications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Pain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Sinusitis due to bone fragments remaining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Haemorrhage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Myiasis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Tetanus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Infection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Incisions are made about 1cm from the horn bases, and the skin is undermined.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horns are removed with a Gigli wire or small saw in a craniolateral direction.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cornual artery should be blocked, either by pulling, twisting, or ligating.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Bone should be removed rostrally to the horns, along the frontal ridge, to allow the skin to cover the incision site.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Fragments of bone and blood clots should be removed to allow easier closure of the surgical site and prevent infection.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site of the surgery should be flushed with sterile saline.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incision should be closed with a non-absorbable suture in a cruciate pattern.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light non-adhesive bandage should be used to cover the surgical site. It should be replaced on the second day post-op and again 5-6 days after the first change.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single dose of an injectable antibiotic, along with a dose of meloxicam, should be given.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Remove sutures 2 weeks after surgery.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