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26F1" w14:textId="233EE0EA" w:rsidR="00825E41" w:rsidRPr="00686936" w:rsidRDefault="00825E41" w:rsidP="00825E41">
      <w:pPr>
        <w:rPr>
          <w:i/>
          <w:iCs/>
          <w:color w:val="2F5496" w:themeColor="accent1" w:themeShade="BF"/>
        </w:rPr>
      </w:pPr>
      <w:r w:rsidRPr="00686936">
        <w:rPr>
          <w:i/>
          <w:iCs/>
          <w:color w:val="2F5496" w:themeColor="accent1" w:themeShade="BF"/>
        </w:rPr>
        <w:t>Case 1 castration</w:t>
      </w:r>
    </w:p>
    <w:p w14:paraId="57DD199C" w14:textId="2DC45EAE" w:rsidR="00DD67FF" w:rsidRPr="00686936" w:rsidRDefault="00825E41" w:rsidP="00825E41">
      <w:pPr>
        <w:rPr>
          <w:i/>
          <w:iCs/>
          <w:color w:val="2F5496" w:themeColor="accent1" w:themeShade="BF"/>
        </w:rPr>
      </w:pPr>
      <w:r w:rsidRPr="00686936">
        <w:rPr>
          <w:i/>
          <w:iCs/>
          <w:color w:val="2F5496" w:themeColor="accent1" w:themeShade="BF"/>
        </w:rPr>
        <w:t>*</w:t>
      </w:r>
      <w:proofErr w:type="gramStart"/>
      <w:r w:rsidRPr="00686936">
        <w:rPr>
          <w:i/>
          <w:iCs/>
          <w:color w:val="2F5496" w:themeColor="accent1" w:themeShade="BF"/>
        </w:rPr>
        <w:t>4 month old</w:t>
      </w:r>
      <w:proofErr w:type="gramEnd"/>
      <w:r w:rsidRPr="00686936">
        <w:rPr>
          <w:i/>
          <w:iCs/>
          <w:color w:val="2F5496" w:themeColor="accent1" w:themeShade="BF"/>
        </w:rPr>
        <w:t xml:space="preserve"> goat kid living on pasture</w:t>
      </w:r>
    </w:p>
    <w:p w14:paraId="6170F766" w14:textId="45CFFB1E" w:rsidR="00825E41" w:rsidRDefault="00825E41" w:rsidP="00825E41"/>
    <w:p w14:paraId="1E1591B1" w14:textId="00945BD6" w:rsidR="00825E41" w:rsidRDefault="00825E41" w:rsidP="00825E41"/>
    <w:p w14:paraId="5693DE68" w14:textId="1AE7F4D1" w:rsidR="00825E41" w:rsidRPr="00035236" w:rsidRDefault="00825E41" w:rsidP="0072191C">
      <w:pPr>
        <w:rPr>
          <w:b/>
          <w:bCs/>
          <w:color w:val="FF0000"/>
          <w:sz w:val="28"/>
          <w:szCs w:val="28"/>
        </w:rPr>
      </w:pPr>
      <w:r w:rsidRPr="00035236">
        <w:rPr>
          <w:b/>
          <w:bCs/>
          <w:color w:val="FF0000"/>
          <w:sz w:val="28"/>
          <w:szCs w:val="28"/>
        </w:rPr>
        <w:t>Preoperative measures</w:t>
      </w:r>
    </w:p>
    <w:p w14:paraId="4FA7BE88" w14:textId="74E3215B" w:rsidR="0072191C" w:rsidRDefault="0072191C" w:rsidP="0072191C"/>
    <w:p w14:paraId="48838FAA" w14:textId="41B0BD40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Indications for castration</w:t>
      </w:r>
    </w:p>
    <w:p w14:paraId="57414EF2" w14:textId="4BC918C2" w:rsidR="00035236" w:rsidRPr="007D02AD" w:rsidRDefault="0003523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Recommended to alter sexual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or aggressive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behavior of the animal</w:t>
      </w:r>
    </w:p>
    <w:p w14:paraId="3D0FE496" w14:textId="18583253" w:rsidR="00035236" w:rsidRPr="007D02AD" w:rsidRDefault="0003523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Considered when sexes are mixed in the pens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to prevent any unwanted breeding</w:t>
      </w:r>
    </w:p>
    <w:p w14:paraId="35C774FD" w14:textId="1A83A31A" w:rsidR="008661B6" w:rsidRPr="007D02AD" w:rsidRDefault="008661B6" w:rsidP="008661B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If they are to be kept for meat for longer than 4 months- to promote weight gain</w:t>
      </w:r>
    </w:p>
    <w:p w14:paraId="0A8F47F0" w14:textId="752B764E" w:rsidR="008661B6" w:rsidRPr="007D02AD" w:rsidRDefault="008661B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Kept as pets</w:t>
      </w:r>
    </w:p>
    <w:p w14:paraId="7DE7397B" w14:textId="1DF4FD44" w:rsidR="008661B6" w:rsidRPr="007D02AD" w:rsidRDefault="008661B6" w:rsidP="008661B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Used as pack animals or harness goats</w:t>
      </w:r>
    </w:p>
    <w:p w14:paraId="51514155" w14:textId="599F4813" w:rsidR="00255A4E" w:rsidRPr="007D02AD" w:rsidRDefault="00255A4E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Animal is easier to restrain and handle in the presence of females</w:t>
      </w:r>
    </w:p>
    <w:p w14:paraId="78D1F96E" w14:textId="77777777" w:rsidR="00035236" w:rsidRPr="007D02AD" w:rsidRDefault="00035236" w:rsidP="0072191C">
      <w:pPr>
        <w:rPr>
          <w:rFonts w:cstheme="minorHAnsi"/>
          <w:color w:val="000000" w:themeColor="text1"/>
          <w:sz w:val="22"/>
          <w:szCs w:val="22"/>
        </w:rPr>
      </w:pPr>
    </w:p>
    <w:p w14:paraId="42506249" w14:textId="20D7597F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009121DA" w14:textId="7CE7AB24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History</w:t>
      </w:r>
    </w:p>
    <w:p w14:paraId="272F592D" w14:textId="2B1F80A6" w:rsidR="0072191C" w:rsidRPr="007D02AD" w:rsidRDefault="0072191C" w:rsidP="0072191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No history was obtained for this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kid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at the time of the procedure, but it is very important in routine operations that this is obtained. Some of the relevant information that is included in this is:</w:t>
      </w:r>
    </w:p>
    <w:p w14:paraId="5E7CCA45" w14:textId="59D4A8D2" w:rsidR="0072191C" w:rsidRPr="007D02AD" w:rsidRDefault="00035236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Animal’s</w:t>
      </w:r>
      <w:r w:rsidR="0072191C" w:rsidRPr="007D02AD">
        <w:rPr>
          <w:rFonts w:cstheme="minorHAnsi"/>
          <w:color w:val="000000" w:themeColor="text1"/>
          <w:sz w:val="22"/>
          <w:szCs w:val="22"/>
        </w:rPr>
        <w:t xml:space="preserve"> age, tag number and parity</w:t>
      </w:r>
    </w:p>
    <w:p w14:paraId="05915F21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Present or past illnesses</w:t>
      </w:r>
    </w:p>
    <w:p w14:paraId="34FB18E1" w14:textId="7D33D4C5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Vaccination history</w:t>
      </w:r>
      <w:r w:rsidR="00035236" w:rsidRPr="007D02AD">
        <w:rPr>
          <w:rFonts w:cstheme="minorHAnsi"/>
          <w:color w:val="000000" w:themeColor="text1"/>
          <w:sz w:val="22"/>
          <w:szCs w:val="22"/>
        </w:rPr>
        <w:t xml:space="preserve"> (if up to date or not)</w:t>
      </w:r>
      <w:r w:rsidR="008661B6" w:rsidRPr="007D02AD">
        <w:rPr>
          <w:rFonts w:cstheme="minorHAnsi"/>
          <w:color w:val="000000" w:themeColor="text1"/>
          <w:sz w:val="22"/>
          <w:szCs w:val="22"/>
        </w:rPr>
        <w:t xml:space="preserve"> *vaccination against tetanus necessary</w:t>
      </w:r>
    </w:p>
    <w:p w14:paraId="1FF649CE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Current diet plan</w:t>
      </w:r>
    </w:p>
    <w:p w14:paraId="467A240D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Any current or previous medication used</w:t>
      </w:r>
    </w:p>
    <w:p w14:paraId="56C5D3BF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Prior medical and surgical procedures underwent </w:t>
      </w:r>
    </w:p>
    <w:p w14:paraId="7E593C18" w14:textId="7D5C4FEA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Any recent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goat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deaths on the farming operation</w:t>
      </w:r>
    </w:p>
    <w:p w14:paraId="42318BE4" w14:textId="77777777" w:rsidR="0072191C" w:rsidRPr="007D02AD" w:rsidRDefault="0072191C" w:rsidP="0072191C">
      <w:pPr>
        <w:pStyle w:val="ListParagraph"/>
        <w:ind w:left="1080"/>
        <w:rPr>
          <w:rFonts w:cstheme="minorHAnsi"/>
          <w:color w:val="000000" w:themeColor="text1"/>
          <w:sz w:val="22"/>
          <w:szCs w:val="22"/>
        </w:rPr>
      </w:pPr>
    </w:p>
    <w:p w14:paraId="77A072E0" w14:textId="6163F714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53FFAEDB" w14:textId="7EDF60FA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Signalment</w:t>
      </w:r>
    </w:p>
    <w:p w14:paraId="1E1EF7A8" w14:textId="4C408178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ID#: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82</w:t>
      </w:r>
    </w:p>
    <w:p w14:paraId="250FB582" w14:textId="442D70E1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Nickname: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-</w:t>
      </w:r>
    </w:p>
    <w:p w14:paraId="66B30F05" w14:textId="0192939C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Age: </w:t>
      </w:r>
      <w:proofErr w:type="gramStart"/>
      <w:r w:rsidR="00035236" w:rsidRPr="007D02AD">
        <w:rPr>
          <w:rFonts w:cstheme="minorHAnsi"/>
          <w:color w:val="000000" w:themeColor="text1"/>
          <w:sz w:val="22"/>
          <w:szCs w:val="22"/>
        </w:rPr>
        <w:t>4 month old</w:t>
      </w:r>
      <w:proofErr w:type="gramEnd"/>
      <w:r w:rsidR="00035236" w:rsidRPr="007D02AD">
        <w:rPr>
          <w:rFonts w:cstheme="minorHAnsi"/>
          <w:color w:val="000000" w:themeColor="text1"/>
          <w:sz w:val="22"/>
          <w:szCs w:val="22"/>
        </w:rPr>
        <w:t xml:space="preserve"> kid</w:t>
      </w:r>
    </w:p>
    <w:p w14:paraId="7E542800" w14:textId="33E0C9FC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Breed: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 xml:space="preserve">Saanen </w:t>
      </w:r>
    </w:p>
    <w:p w14:paraId="7D8F8B7F" w14:textId="77777777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BCS: 3/5</w:t>
      </w:r>
    </w:p>
    <w:p w14:paraId="06E77EF3" w14:textId="1E72C448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Weight: </w:t>
      </w:r>
      <w:r w:rsidR="00255A4E" w:rsidRPr="007D02AD">
        <w:rPr>
          <w:rFonts w:cstheme="minorHAnsi"/>
          <w:color w:val="000000" w:themeColor="text1"/>
          <w:sz w:val="22"/>
          <w:szCs w:val="22"/>
        </w:rPr>
        <w:t>62 pounds (28kg)</w:t>
      </w:r>
    </w:p>
    <w:p w14:paraId="5A9841BE" w14:textId="77777777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33003018" w14:textId="554AC9A5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3126A991" w14:textId="3594BD19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Physical exam</w:t>
      </w:r>
    </w:p>
    <w:p w14:paraId="4A414D1C" w14:textId="51276B16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 physical exam is always preceded by a distance exam. The environment is observed and assessed for factors such as cleanliness, proper and adequate bedding, airflow and presence of other pen mates. The </w:t>
      </w:r>
      <w:r w:rsidR="00701712" w:rsidRPr="007D02AD">
        <w:rPr>
          <w:rFonts w:cstheme="minorHAnsi"/>
          <w:color w:val="000000" w:themeColor="text1"/>
          <w:sz w:val="22"/>
          <w:szCs w:val="22"/>
        </w:rPr>
        <w:t>animal’s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appearance is then assessed by its ability to stand, gait and posture, any visible abnormalities (congenital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eg.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 xml:space="preserve"> Cleft palate), signs of fecal staining and the respiration rate. After this, a 5-station physical exam is done, and all parameters are observed to check if they are within the normal ranges</w:t>
      </w:r>
      <w:r w:rsidR="008661B6" w:rsidRPr="007D02AD">
        <w:rPr>
          <w:rFonts w:cstheme="minorHAnsi"/>
          <w:color w:val="000000" w:themeColor="text1"/>
          <w:sz w:val="22"/>
          <w:szCs w:val="22"/>
        </w:rPr>
        <w:t xml:space="preserve"> and systemically healthy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. </w:t>
      </w:r>
      <w:r w:rsidR="00255A4E" w:rsidRPr="007D02AD">
        <w:rPr>
          <w:rFonts w:cstheme="minorHAnsi"/>
          <w:color w:val="000000" w:themeColor="text1"/>
          <w:sz w:val="22"/>
          <w:szCs w:val="22"/>
        </w:rPr>
        <w:t>Ensure that both testicles have descended</w:t>
      </w:r>
      <w:r w:rsidR="008661B6" w:rsidRPr="007D02AD">
        <w:rPr>
          <w:rFonts w:cstheme="minorHAnsi"/>
          <w:color w:val="000000" w:themeColor="text1"/>
          <w:sz w:val="22"/>
          <w:szCs w:val="22"/>
        </w:rPr>
        <w:t>.</w:t>
      </w:r>
    </w:p>
    <w:p w14:paraId="53D55FE3" w14:textId="41B085B1" w:rsidR="00701712" w:rsidRPr="007D02AD" w:rsidRDefault="00701712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2C05A8D3" w14:textId="3F82CEF5" w:rsidR="00AF3844" w:rsidRPr="007D02AD" w:rsidRDefault="00AF3844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184A6592" w14:textId="79276056" w:rsidR="008661B6" w:rsidRPr="007D02AD" w:rsidRDefault="008661B6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76A7BC53" w14:textId="77777777" w:rsidR="008661B6" w:rsidRPr="007D02AD" w:rsidRDefault="008661B6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26273C4E" w14:textId="3BCC5F22" w:rsidR="0072191C" w:rsidRPr="007D02AD" w:rsidRDefault="00701712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Owner compliance</w:t>
      </w:r>
    </w:p>
    <w:p w14:paraId="63864FBF" w14:textId="4714D9A9" w:rsidR="0072191C" w:rsidRPr="007D02AD" w:rsidRDefault="00701712" w:rsidP="0072191C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Inform the owner that a variable amount of time (3 to 6 weeks) is required for complete regression/atrophy of the testicle</w:t>
      </w:r>
    </w:p>
    <w:p w14:paraId="05EF1199" w14:textId="77777777" w:rsidR="008661B6" w:rsidRPr="007D02AD" w:rsidRDefault="008661B6" w:rsidP="008661B6">
      <w:pPr>
        <w:pStyle w:val="ListParagraph"/>
        <w:ind w:left="36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1D5D670" w14:textId="5D1E6E64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Equipment</w:t>
      </w:r>
    </w:p>
    <w:p w14:paraId="737DEAA9" w14:textId="09471CF7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Rectal thermometer</w:t>
      </w:r>
    </w:p>
    <w:p w14:paraId="082ED99E" w14:textId="066819F0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Stethoscope</w:t>
      </w:r>
    </w:p>
    <w:p w14:paraId="623E686A" w14:textId="47314740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Standing chute</w:t>
      </w:r>
    </w:p>
    <w:p w14:paraId="48874DFF" w14:textId="1BF0AA60" w:rsidR="00D94649" w:rsidRPr="007D02AD" w:rsidRDefault="00D94649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Knee bracket</w:t>
      </w:r>
    </w:p>
    <w:p w14:paraId="31A91503" w14:textId="104D055F" w:rsidR="008661B6" w:rsidRPr="007D02AD" w:rsidRDefault="008661B6" w:rsidP="008661B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Sterile gloves</w:t>
      </w:r>
    </w:p>
    <w:p w14:paraId="639D2262" w14:textId="638C9D2E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Alcohol swabs</w:t>
      </w:r>
    </w:p>
    <w:p w14:paraId="2476E2C0" w14:textId="25DA9BB8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Emasculatome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 xml:space="preserve"> (</w:t>
      </w:r>
      <w:proofErr w:type="spellStart"/>
      <w:r w:rsidR="00EF7653" w:rsidRPr="007D02AD">
        <w:rPr>
          <w:rFonts w:cstheme="minorHAnsi"/>
          <w:color w:val="000000" w:themeColor="text1"/>
          <w:sz w:val="22"/>
          <w:szCs w:val="22"/>
        </w:rPr>
        <w:t>B</w:t>
      </w:r>
      <w:r w:rsidRPr="007D02AD">
        <w:rPr>
          <w:rFonts w:cstheme="minorHAnsi"/>
          <w:color w:val="000000" w:themeColor="text1"/>
          <w:sz w:val="22"/>
          <w:szCs w:val="22"/>
        </w:rPr>
        <w:t>urdizzo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>)</w:t>
      </w:r>
    </w:p>
    <w:p w14:paraId="433F7349" w14:textId="74369241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47B28A07" w14:textId="77777777" w:rsidR="0009130B" w:rsidRPr="007D02AD" w:rsidRDefault="0072191C" w:rsidP="0009130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Restraint and safety</w:t>
      </w:r>
    </w:p>
    <w:p w14:paraId="3260B474" w14:textId="567C5B0E" w:rsidR="0020417E" w:rsidRPr="007D02AD" w:rsidRDefault="0009130B" w:rsidP="0009130B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G</w:t>
      </w:r>
      <w:r w:rsidR="00701712" w:rsidRPr="007D02AD">
        <w:rPr>
          <w:rFonts w:cstheme="minorHAnsi"/>
          <w:color w:val="000000" w:themeColor="text1"/>
          <w:sz w:val="22"/>
          <w:szCs w:val="22"/>
        </w:rPr>
        <w:t>oat should remain in a standing chute with adequate tail restraint</w:t>
      </w:r>
      <w:r w:rsidR="00D94649" w:rsidRPr="007D02AD">
        <w:rPr>
          <w:rFonts w:cstheme="minorHAnsi"/>
          <w:color w:val="000000" w:themeColor="text1"/>
          <w:sz w:val="22"/>
          <w:szCs w:val="22"/>
        </w:rPr>
        <w:t xml:space="preserve"> and application of a knee </w:t>
      </w:r>
      <w:proofErr w:type="spellStart"/>
      <w:r w:rsidR="00D94649" w:rsidRPr="007D02AD">
        <w:rPr>
          <w:rFonts w:cstheme="minorHAnsi"/>
          <w:color w:val="000000" w:themeColor="text1"/>
          <w:sz w:val="22"/>
          <w:szCs w:val="22"/>
        </w:rPr>
        <w:t>backet</w:t>
      </w:r>
      <w:proofErr w:type="spellEnd"/>
      <w:r w:rsidR="00D94649" w:rsidRPr="007D02AD">
        <w:rPr>
          <w:rFonts w:cstheme="minorHAnsi"/>
          <w:color w:val="000000" w:themeColor="text1"/>
          <w:sz w:val="22"/>
          <w:szCs w:val="22"/>
        </w:rPr>
        <w:t>.</w:t>
      </w:r>
    </w:p>
    <w:p w14:paraId="11FAF164" w14:textId="0F0C3E22" w:rsidR="00EF7653" w:rsidRPr="007D02AD" w:rsidRDefault="00EF7653" w:rsidP="0009130B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Wash and clean your hands and surgical equipment using an antiseptic solution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eg</w:t>
      </w:r>
      <w:r w:rsidR="00711885" w:rsidRPr="007D02AD">
        <w:rPr>
          <w:rFonts w:cstheme="minorHAnsi"/>
          <w:color w:val="000000" w:themeColor="text1"/>
          <w:sz w:val="22"/>
          <w:szCs w:val="22"/>
        </w:rPr>
        <w:t>.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Hibitane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>®.</w:t>
      </w:r>
    </w:p>
    <w:p w14:paraId="0D4BA00C" w14:textId="77777777" w:rsidR="0020417E" w:rsidRPr="007D02AD" w:rsidRDefault="0020417E" w:rsidP="0072191C">
      <w:pPr>
        <w:rPr>
          <w:rFonts w:cstheme="minorHAnsi"/>
          <w:color w:val="000000" w:themeColor="text1"/>
          <w:sz w:val="22"/>
          <w:szCs w:val="22"/>
        </w:rPr>
      </w:pPr>
    </w:p>
    <w:p w14:paraId="36259773" w14:textId="77777777" w:rsidR="0020417E" w:rsidRPr="007D02AD" w:rsidRDefault="0020417E" w:rsidP="0072191C">
      <w:pPr>
        <w:rPr>
          <w:rFonts w:cstheme="minorHAnsi"/>
          <w:color w:val="000000" w:themeColor="text1"/>
          <w:sz w:val="22"/>
          <w:szCs w:val="22"/>
        </w:rPr>
      </w:pPr>
    </w:p>
    <w:p w14:paraId="58EE7833" w14:textId="7015D3F1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Calculations of drugs used</w:t>
      </w:r>
    </w:p>
    <w:p w14:paraId="1070AB35" w14:textId="4D64BE09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2E8856D8" w14:textId="78E410E6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1846" w:type="dxa"/>
        <w:tblInd w:w="-1265" w:type="dxa"/>
        <w:tblLook w:val="04A0" w:firstRow="1" w:lastRow="0" w:firstColumn="1" w:lastColumn="0" w:noHBand="0" w:noVBand="1"/>
      </w:tblPr>
      <w:tblGrid>
        <w:gridCol w:w="1348"/>
        <w:gridCol w:w="1154"/>
        <w:gridCol w:w="1448"/>
        <w:gridCol w:w="2772"/>
        <w:gridCol w:w="1257"/>
        <w:gridCol w:w="2604"/>
        <w:gridCol w:w="1263"/>
      </w:tblGrid>
      <w:tr w:rsidR="007D02AD" w:rsidRPr="007D02AD" w14:paraId="21BDD547" w14:textId="6B018922" w:rsidTr="00711885">
        <w:tc>
          <w:tcPr>
            <w:tcW w:w="1350" w:type="dxa"/>
          </w:tcPr>
          <w:p w14:paraId="1641E406" w14:textId="3D7CDA4C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Drug</w:t>
            </w:r>
          </w:p>
        </w:tc>
        <w:tc>
          <w:tcPr>
            <w:tcW w:w="1170" w:type="dxa"/>
          </w:tcPr>
          <w:p w14:paraId="78D5706D" w14:textId="708AC441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rate</w:t>
            </w:r>
          </w:p>
        </w:tc>
        <w:tc>
          <w:tcPr>
            <w:tcW w:w="1170" w:type="dxa"/>
          </w:tcPr>
          <w:p w14:paraId="2F46F2EB" w14:textId="716ED443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Conc</w:t>
            </w:r>
            <w:r w:rsidR="00711885" w:rsidRPr="007D02AD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4FE1FBCF" w14:textId="3F060D1D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Volume to be given</w:t>
            </w:r>
          </w:p>
        </w:tc>
        <w:tc>
          <w:tcPr>
            <w:tcW w:w="1260" w:type="dxa"/>
          </w:tcPr>
          <w:p w14:paraId="2B861742" w14:textId="3C51D4E6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Indications </w:t>
            </w:r>
          </w:p>
        </w:tc>
        <w:tc>
          <w:tcPr>
            <w:tcW w:w="2753" w:type="dxa"/>
          </w:tcPr>
          <w:p w14:paraId="5236F766" w14:textId="58662898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contraindications</w:t>
            </w:r>
          </w:p>
        </w:tc>
        <w:tc>
          <w:tcPr>
            <w:tcW w:w="1263" w:type="dxa"/>
          </w:tcPr>
          <w:p w14:paraId="34F6C8CD" w14:textId="2D9BBA1E" w:rsidR="00EA2601" w:rsidRPr="007D02AD" w:rsidRDefault="00711885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Withdrawal</w:t>
            </w:r>
            <w:r w:rsidR="00EA2601"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 time </w:t>
            </w:r>
          </w:p>
        </w:tc>
      </w:tr>
      <w:tr w:rsidR="007D02AD" w:rsidRPr="007D02AD" w14:paraId="43FDC269" w14:textId="77777777" w:rsidTr="00711885">
        <w:tc>
          <w:tcPr>
            <w:tcW w:w="1350" w:type="dxa"/>
          </w:tcPr>
          <w:p w14:paraId="5ED1F754" w14:textId="08D62CDF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Tetanus antitoxin</w:t>
            </w:r>
          </w:p>
        </w:tc>
        <w:tc>
          <w:tcPr>
            <w:tcW w:w="1170" w:type="dxa"/>
          </w:tcPr>
          <w:p w14:paraId="380A419C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83CD51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7689FD9" w14:textId="695F33C9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1ml</w:t>
            </w:r>
          </w:p>
        </w:tc>
        <w:tc>
          <w:tcPr>
            <w:tcW w:w="1260" w:type="dxa"/>
          </w:tcPr>
          <w:p w14:paraId="33C938C0" w14:textId="5E4EBC5A" w:rsidR="004C61B8" w:rsidRPr="007D02AD" w:rsidRDefault="00BB2D73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Tetanus prophylaxis</w:t>
            </w:r>
          </w:p>
        </w:tc>
        <w:tc>
          <w:tcPr>
            <w:tcW w:w="2753" w:type="dxa"/>
          </w:tcPr>
          <w:p w14:paraId="4992ED53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4A75F3F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4583581B" w14:textId="77777777" w:rsidTr="00711885">
        <w:tc>
          <w:tcPr>
            <w:tcW w:w="1350" w:type="dxa"/>
          </w:tcPr>
          <w:p w14:paraId="65106DC3" w14:textId="14903BB6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Penstrep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400</w:t>
            </w:r>
          </w:p>
        </w:tc>
        <w:tc>
          <w:tcPr>
            <w:tcW w:w="1170" w:type="dxa"/>
          </w:tcPr>
          <w:p w14:paraId="424FC0F5" w14:textId="67994974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20,000 IU/kg</w:t>
            </w:r>
          </w:p>
        </w:tc>
        <w:tc>
          <w:tcPr>
            <w:tcW w:w="1170" w:type="dxa"/>
          </w:tcPr>
          <w:p w14:paraId="08AA5F28" w14:textId="71408258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200,000IU/ml</w:t>
            </w:r>
          </w:p>
        </w:tc>
        <w:tc>
          <w:tcPr>
            <w:tcW w:w="2880" w:type="dxa"/>
          </w:tcPr>
          <w:p w14:paraId="1DA21847" w14:textId="77777777" w:rsidR="007D02AD" w:rsidRPr="007D02AD" w:rsidRDefault="007D02AD" w:rsidP="007D02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0B114771" w14:textId="5EC443A5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=2.8ml</w:t>
            </w:r>
          </w:p>
        </w:tc>
        <w:tc>
          <w:tcPr>
            <w:tcW w:w="1260" w:type="dxa"/>
          </w:tcPr>
          <w:p w14:paraId="30EE7F96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</w:tcPr>
          <w:p w14:paraId="48A1668C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2E7E684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004E5EDF" w14:textId="77777777" w:rsidTr="00711885">
        <w:tc>
          <w:tcPr>
            <w:tcW w:w="1350" w:type="dxa"/>
          </w:tcPr>
          <w:p w14:paraId="5B402A45" w14:textId="2989DA98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Lidocaine 2%</w:t>
            </w:r>
          </w:p>
        </w:tc>
        <w:tc>
          <w:tcPr>
            <w:tcW w:w="1170" w:type="dxa"/>
          </w:tcPr>
          <w:p w14:paraId="47A28171" w14:textId="7820506E" w:rsidR="00EA2601" w:rsidRPr="007D02AD" w:rsidRDefault="00A13DFB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5mg/kg</w:t>
            </w:r>
          </w:p>
        </w:tc>
        <w:tc>
          <w:tcPr>
            <w:tcW w:w="1170" w:type="dxa"/>
          </w:tcPr>
          <w:p w14:paraId="404CA6DD" w14:textId="6C7E1140" w:rsidR="004C61B8" w:rsidRPr="007D02AD" w:rsidRDefault="004C61B8" w:rsidP="004C61B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20mg/ml</w:t>
            </w:r>
          </w:p>
        </w:tc>
        <w:tc>
          <w:tcPr>
            <w:tcW w:w="2880" w:type="dxa"/>
          </w:tcPr>
          <w:p w14:paraId="607F80CF" w14:textId="77777777" w:rsidR="004C61B8" w:rsidRPr="007D02AD" w:rsidRDefault="004C61B8" w:rsidP="004C61B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72A3F556" w14:textId="77777777" w:rsidR="00EA2601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=5mg/kg x 28kg / 20mg/ml</w:t>
            </w:r>
          </w:p>
          <w:p w14:paraId="57AA4BD1" w14:textId="296B5A76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 7ml</w:t>
            </w:r>
          </w:p>
        </w:tc>
        <w:tc>
          <w:tcPr>
            <w:tcW w:w="1260" w:type="dxa"/>
          </w:tcPr>
          <w:p w14:paraId="3B2B8178" w14:textId="22464A8A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Local anesthetic</w:t>
            </w:r>
          </w:p>
        </w:tc>
        <w:tc>
          <w:tcPr>
            <w:tcW w:w="2753" w:type="dxa"/>
          </w:tcPr>
          <w:p w14:paraId="0F12ABB1" w14:textId="5DBC6DBF" w:rsidR="00EA2601" w:rsidRPr="007D02AD" w:rsidRDefault="00A13DFB" w:rsidP="007118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Used with caution in patients </w:t>
            </w:r>
            <w:r w:rsidR="004C61B8" w:rsidRPr="007D02AD">
              <w:rPr>
                <w:rFonts w:cstheme="minorHAnsi"/>
                <w:color w:val="000000" w:themeColor="text1"/>
                <w:sz w:val="22"/>
                <w:szCs w:val="22"/>
              </w:rPr>
              <w:t>with CHF, liver failure, shock, severe respiratory disease.</w:t>
            </w:r>
          </w:p>
        </w:tc>
        <w:tc>
          <w:tcPr>
            <w:tcW w:w="1263" w:type="dxa"/>
          </w:tcPr>
          <w:p w14:paraId="5A5169A2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7FA48AD0" w14:textId="77777777" w:rsidTr="00711885">
        <w:tc>
          <w:tcPr>
            <w:tcW w:w="1350" w:type="dxa"/>
          </w:tcPr>
          <w:p w14:paraId="1A3ABADA" w14:textId="395E24F4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Butorphanol</w:t>
            </w:r>
          </w:p>
        </w:tc>
        <w:tc>
          <w:tcPr>
            <w:tcW w:w="1170" w:type="dxa"/>
          </w:tcPr>
          <w:p w14:paraId="5A1EF17E" w14:textId="090BF8AE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="004C61B8" w:rsidRPr="007D02AD">
              <w:rPr>
                <w:rFonts w:cstheme="minorHAnsi"/>
                <w:color w:val="000000" w:themeColor="text1"/>
                <w:sz w:val="22"/>
                <w:szCs w:val="22"/>
              </w:rPr>
              <w:t>.1</w:t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170" w:type="dxa"/>
          </w:tcPr>
          <w:p w14:paraId="702366BB" w14:textId="770D00B0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10mg/ml</w:t>
            </w:r>
          </w:p>
        </w:tc>
        <w:tc>
          <w:tcPr>
            <w:tcW w:w="2880" w:type="dxa"/>
          </w:tcPr>
          <w:p w14:paraId="6AE59843" w14:textId="7A06EED4" w:rsidR="00EA2601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2499FCAD" w14:textId="30FC76CC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=0.1mg/kg x 28kg / 10mg/ml</w:t>
            </w:r>
          </w:p>
          <w:p w14:paraId="19290CB8" w14:textId="5BAF1471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=0.28ml </w:t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 3ml</w:t>
            </w:r>
          </w:p>
        </w:tc>
        <w:tc>
          <w:tcPr>
            <w:tcW w:w="1260" w:type="dxa"/>
          </w:tcPr>
          <w:p w14:paraId="56D9C130" w14:textId="09F2F3BC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Analgesia</w:t>
            </w:r>
          </w:p>
        </w:tc>
        <w:tc>
          <w:tcPr>
            <w:tcW w:w="2753" w:type="dxa"/>
          </w:tcPr>
          <w:p w14:paraId="7AD5402D" w14:textId="298784A8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Should not be used if animal has a known hypersensitivity to the drug</w:t>
            </w:r>
          </w:p>
        </w:tc>
        <w:tc>
          <w:tcPr>
            <w:tcW w:w="1263" w:type="dxa"/>
          </w:tcPr>
          <w:p w14:paraId="620BF435" w14:textId="0BA40F7A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2 days</w:t>
            </w:r>
          </w:p>
        </w:tc>
      </w:tr>
    </w:tbl>
    <w:p w14:paraId="6C4B05EB" w14:textId="77777777" w:rsidR="00B438F4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</w:p>
    <w:p w14:paraId="46019CD3" w14:textId="77777777" w:rsidR="00B438F4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</w:p>
    <w:p w14:paraId="1473AE3D" w14:textId="5E59D583" w:rsidR="0072191C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*</w:t>
      </w:r>
      <w:r w:rsidR="00A13DFB" w:rsidRPr="007D02AD">
        <w:rPr>
          <w:rFonts w:cstheme="minorHAnsi"/>
          <w:color w:val="000000" w:themeColor="text1"/>
          <w:sz w:val="22"/>
          <w:szCs w:val="22"/>
        </w:rPr>
        <w:t xml:space="preserve">For lidocaine- 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Inject </w:t>
      </w:r>
      <w:r w:rsidR="00F85273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3ml in the 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>scrotal sac and massage. The 2 spermatic cord sites are also injected</w:t>
      </w:r>
      <w:r w:rsidR="00F85273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 (2ml each) to distribute the local anesthetic efficiently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B72936A" w14:textId="758E3E05" w:rsidR="0072191C" w:rsidRPr="007D02AD" w:rsidRDefault="0072191C" w:rsidP="00825E41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5CD61726" w14:textId="4BA8278B" w:rsidR="00F302CB" w:rsidRDefault="00F302CB" w:rsidP="0072191C">
      <w:pPr>
        <w:rPr>
          <w:rFonts w:cstheme="minorHAnsi"/>
          <w:color w:val="000000" w:themeColor="text1"/>
          <w:sz w:val="22"/>
          <w:szCs w:val="22"/>
        </w:rPr>
      </w:pPr>
    </w:p>
    <w:p w14:paraId="0D01EB19" w14:textId="1DA4CB44" w:rsidR="00674498" w:rsidRDefault="00674498" w:rsidP="0072191C">
      <w:pPr>
        <w:rPr>
          <w:rFonts w:cstheme="minorHAnsi"/>
          <w:color w:val="000000" w:themeColor="text1"/>
          <w:sz w:val="22"/>
          <w:szCs w:val="22"/>
        </w:rPr>
      </w:pPr>
    </w:p>
    <w:p w14:paraId="5616B77C" w14:textId="77777777" w:rsidR="00674498" w:rsidRPr="007D02AD" w:rsidRDefault="00674498" w:rsidP="0072191C">
      <w:pPr>
        <w:rPr>
          <w:rFonts w:cstheme="minorHAnsi"/>
          <w:color w:val="000000" w:themeColor="text1"/>
          <w:sz w:val="22"/>
          <w:szCs w:val="22"/>
        </w:rPr>
      </w:pPr>
    </w:p>
    <w:p w14:paraId="1861A427" w14:textId="77777777" w:rsidR="0072191C" w:rsidRPr="007D02AD" w:rsidRDefault="0072191C" w:rsidP="00825E41">
      <w:pPr>
        <w:pStyle w:val="ListParagraph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72191C" w:rsidRPr="007D02AD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8B"/>
    <w:multiLevelType w:val="multilevel"/>
    <w:tmpl w:val="5C3AA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60D03"/>
    <w:multiLevelType w:val="hybridMultilevel"/>
    <w:tmpl w:val="C664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1098"/>
    <w:multiLevelType w:val="hybridMultilevel"/>
    <w:tmpl w:val="F6F2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F6A"/>
    <w:multiLevelType w:val="hybridMultilevel"/>
    <w:tmpl w:val="1C7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E8E"/>
    <w:multiLevelType w:val="hybridMultilevel"/>
    <w:tmpl w:val="DCC05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C5E9D"/>
    <w:multiLevelType w:val="hybridMultilevel"/>
    <w:tmpl w:val="F148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17B9F"/>
    <w:multiLevelType w:val="hybridMultilevel"/>
    <w:tmpl w:val="B35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25C1A"/>
    <w:multiLevelType w:val="hybridMultilevel"/>
    <w:tmpl w:val="2E74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0"/>
    <w:rsid w:val="00035236"/>
    <w:rsid w:val="0009130B"/>
    <w:rsid w:val="00193A84"/>
    <w:rsid w:val="0020417E"/>
    <w:rsid w:val="00207EDF"/>
    <w:rsid w:val="00255A4E"/>
    <w:rsid w:val="00312476"/>
    <w:rsid w:val="004C61B8"/>
    <w:rsid w:val="00674498"/>
    <w:rsid w:val="00686936"/>
    <w:rsid w:val="00701712"/>
    <w:rsid w:val="00711885"/>
    <w:rsid w:val="0072191C"/>
    <w:rsid w:val="007D02AD"/>
    <w:rsid w:val="00825E41"/>
    <w:rsid w:val="008661B6"/>
    <w:rsid w:val="008A4924"/>
    <w:rsid w:val="00963DA0"/>
    <w:rsid w:val="009974FE"/>
    <w:rsid w:val="00A13DFB"/>
    <w:rsid w:val="00AA1EFE"/>
    <w:rsid w:val="00AA327B"/>
    <w:rsid w:val="00AA3D76"/>
    <w:rsid w:val="00AF3844"/>
    <w:rsid w:val="00B438F4"/>
    <w:rsid w:val="00BB2D73"/>
    <w:rsid w:val="00CA66E1"/>
    <w:rsid w:val="00CB7B71"/>
    <w:rsid w:val="00D94649"/>
    <w:rsid w:val="00EA2601"/>
    <w:rsid w:val="00EF7653"/>
    <w:rsid w:val="00F302CB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35E5"/>
  <w15:chartTrackingRefBased/>
  <w15:docId w15:val="{3681DBFD-0EDB-F042-AC5E-6099472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1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302CB"/>
  </w:style>
  <w:style w:type="table" w:styleId="TableGrid">
    <w:name w:val="Table Grid"/>
    <w:basedOn w:val="TableNormal"/>
    <w:uiPriority w:val="39"/>
    <w:rsid w:val="00EA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Sutherland</dc:creator>
  <cp:keywords/>
  <dc:description/>
  <cp:lastModifiedBy>nayan.basdeo</cp:lastModifiedBy>
  <cp:revision>2</cp:revision>
  <dcterms:created xsi:type="dcterms:W3CDTF">2020-10-12T12:39:00Z</dcterms:created>
  <dcterms:modified xsi:type="dcterms:W3CDTF">2020-10-12T12:39:00Z</dcterms:modified>
</cp:coreProperties>
</file>