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75" w:type="dxa"/>
        <w:tblLayout w:type="fixed"/>
        <w:tblLook w:val="04A0" w:firstRow="1" w:lastRow="0" w:firstColumn="1" w:lastColumn="0" w:noHBand="0" w:noVBand="1"/>
      </w:tblPr>
      <w:tblGrid>
        <w:gridCol w:w="2008"/>
        <w:gridCol w:w="2290"/>
        <w:gridCol w:w="1912"/>
        <w:gridCol w:w="1440"/>
        <w:gridCol w:w="1211"/>
        <w:gridCol w:w="1664"/>
      </w:tblGrid>
      <w:tr w:rsidR="00931B04" w14:paraId="33C7BA36" w14:textId="77777777" w:rsidTr="00BE0844">
        <w:tc>
          <w:tcPr>
            <w:tcW w:w="2008" w:type="dxa"/>
            <w:shd w:val="clear" w:color="auto" w:fill="F4B083" w:themeFill="accent2" w:themeFillTint="99"/>
          </w:tcPr>
          <w:p w14:paraId="1F259D9D" w14:textId="6A5F7886" w:rsidR="00A60BF4" w:rsidRPr="00F544F6" w:rsidRDefault="00A60BF4" w:rsidP="00F544F6">
            <w:pPr>
              <w:jc w:val="center"/>
              <w:rPr>
                <w:b/>
                <w:bCs/>
                <w:sz w:val="24"/>
                <w:szCs w:val="24"/>
              </w:rPr>
            </w:pPr>
            <w:r w:rsidRPr="00F544F6">
              <w:rPr>
                <w:b/>
                <w:bCs/>
                <w:sz w:val="24"/>
                <w:szCs w:val="24"/>
              </w:rPr>
              <w:t>DRUG</w:t>
            </w:r>
          </w:p>
        </w:tc>
        <w:tc>
          <w:tcPr>
            <w:tcW w:w="2290" w:type="dxa"/>
            <w:shd w:val="clear" w:color="auto" w:fill="F4B083" w:themeFill="accent2" w:themeFillTint="99"/>
          </w:tcPr>
          <w:p w14:paraId="011C4397" w14:textId="7405EA18" w:rsidR="00002F68" w:rsidRPr="00F544F6" w:rsidRDefault="00A60BF4" w:rsidP="00002F68">
            <w:pPr>
              <w:jc w:val="center"/>
              <w:rPr>
                <w:b/>
                <w:bCs/>
                <w:sz w:val="24"/>
                <w:szCs w:val="24"/>
              </w:rPr>
            </w:pPr>
            <w:r w:rsidRPr="00F544F6">
              <w:rPr>
                <w:b/>
                <w:bCs/>
                <w:sz w:val="24"/>
                <w:szCs w:val="24"/>
              </w:rPr>
              <w:t>DOSE</w:t>
            </w:r>
            <w:r w:rsidR="00002F68">
              <w:rPr>
                <w:b/>
                <w:bCs/>
                <w:sz w:val="24"/>
                <w:szCs w:val="24"/>
              </w:rPr>
              <w:t xml:space="preserve"> </w:t>
            </w:r>
          </w:p>
        </w:tc>
        <w:tc>
          <w:tcPr>
            <w:tcW w:w="1912" w:type="dxa"/>
            <w:shd w:val="clear" w:color="auto" w:fill="F4B083" w:themeFill="accent2" w:themeFillTint="99"/>
          </w:tcPr>
          <w:p w14:paraId="3459AA22" w14:textId="50D45FC5" w:rsidR="00A60BF4" w:rsidRPr="00F544F6" w:rsidRDefault="007818CA" w:rsidP="007818CA">
            <w:pPr>
              <w:jc w:val="center"/>
              <w:rPr>
                <w:b/>
                <w:bCs/>
                <w:sz w:val="24"/>
                <w:szCs w:val="24"/>
              </w:rPr>
            </w:pPr>
            <w:r>
              <w:rPr>
                <w:b/>
                <w:bCs/>
                <w:sz w:val="24"/>
                <w:szCs w:val="24"/>
              </w:rPr>
              <w:t>EFFECTS</w:t>
            </w:r>
          </w:p>
        </w:tc>
        <w:tc>
          <w:tcPr>
            <w:tcW w:w="1440" w:type="dxa"/>
            <w:shd w:val="clear" w:color="auto" w:fill="F4B083" w:themeFill="accent2" w:themeFillTint="99"/>
          </w:tcPr>
          <w:p w14:paraId="6EE0AF9E" w14:textId="3453BC0E" w:rsidR="00A60BF4" w:rsidRPr="00F544F6" w:rsidRDefault="00A60BF4" w:rsidP="00F544F6">
            <w:pPr>
              <w:jc w:val="center"/>
              <w:rPr>
                <w:b/>
                <w:bCs/>
                <w:sz w:val="24"/>
                <w:szCs w:val="24"/>
              </w:rPr>
            </w:pPr>
            <w:r w:rsidRPr="00F544F6">
              <w:rPr>
                <w:b/>
                <w:bCs/>
                <w:sz w:val="24"/>
                <w:szCs w:val="24"/>
              </w:rPr>
              <w:t>ADVERSE REACTIONS</w:t>
            </w:r>
          </w:p>
        </w:tc>
        <w:tc>
          <w:tcPr>
            <w:tcW w:w="1211" w:type="dxa"/>
            <w:shd w:val="clear" w:color="auto" w:fill="F4B083" w:themeFill="accent2" w:themeFillTint="99"/>
          </w:tcPr>
          <w:p w14:paraId="3CBE40DD" w14:textId="4173B46E" w:rsidR="00A60BF4" w:rsidRPr="00F544F6" w:rsidRDefault="00A60BF4" w:rsidP="00F544F6">
            <w:pPr>
              <w:jc w:val="center"/>
              <w:rPr>
                <w:b/>
                <w:bCs/>
                <w:sz w:val="24"/>
                <w:szCs w:val="24"/>
              </w:rPr>
            </w:pPr>
            <w:r w:rsidRPr="00F544F6">
              <w:rPr>
                <w:b/>
                <w:bCs/>
                <w:sz w:val="24"/>
                <w:szCs w:val="24"/>
              </w:rPr>
              <w:t>DRUG CLASS</w:t>
            </w:r>
          </w:p>
        </w:tc>
        <w:tc>
          <w:tcPr>
            <w:tcW w:w="1664" w:type="dxa"/>
            <w:shd w:val="clear" w:color="auto" w:fill="F4B083" w:themeFill="accent2" w:themeFillTint="99"/>
          </w:tcPr>
          <w:p w14:paraId="69CB3546" w14:textId="30C4C5C9" w:rsidR="00A60BF4" w:rsidRPr="00F544F6" w:rsidRDefault="007818CA" w:rsidP="00F544F6">
            <w:pPr>
              <w:jc w:val="center"/>
              <w:rPr>
                <w:b/>
                <w:bCs/>
                <w:sz w:val="24"/>
                <w:szCs w:val="24"/>
              </w:rPr>
            </w:pPr>
            <w:r>
              <w:rPr>
                <w:b/>
                <w:bCs/>
                <w:sz w:val="24"/>
                <w:szCs w:val="24"/>
              </w:rPr>
              <w:t>WITHDRAWAL TIME</w:t>
            </w:r>
          </w:p>
        </w:tc>
      </w:tr>
      <w:tr w:rsidR="00BE0844" w14:paraId="36D64470" w14:textId="77777777" w:rsidTr="00BE0844">
        <w:tc>
          <w:tcPr>
            <w:tcW w:w="2008" w:type="dxa"/>
          </w:tcPr>
          <w:p w14:paraId="761DDB12" w14:textId="77777777" w:rsidR="00A60BF4" w:rsidRDefault="00F544F6">
            <w:pPr>
              <w:rPr>
                <w:i/>
                <w:iCs/>
                <w:sz w:val="24"/>
                <w:szCs w:val="24"/>
              </w:rPr>
            </w:pPr>
            <w:r w:rsidRPr="002544BC">
              <w:rPr>
                <w:i/>
                <w:iCs/>
                <w:sz w:val="24"/>
                <w:szCs w:val="24"/>
              </w:rPr>
              <w:t xml:space="preserve">Xylazine </w:t>
            </w:r>
            <w:r w:rsidR="002544BC" w:rsidRPr="002544BC">
              <w:rPr>
                <w:i/>
                <w:iCs/>
                <w:sz w:val="24"/>
                <w:szCs w:val="24"/>
              </w:rPr>
              <w:t>(2%)</w:t>
            </w:r>
            <w:r w:rsidR="00931B04">
              <w:rPr>
                <w:i/>
                <w:iCs/>
                <w:sz w:val="24"/>
                <w:szCs w:val="24"/>
              </w:rPr>
              <w:t xml:space="preserve"> </w:t>
            </w:r>
          </w:p>
          <w:p w14:paraId="103F8628" w14:textId="1D171F4B" w:rsidR="00931B04" w:rsidRPr="002544BC" w:rsidRDefault="00931B04">
            <w:pPr>
              <w:rPr>
                <w:i/>
                <w:iCs/>
                <w:sz w:val="24"/>
                <w:szCs w:val="24"/>
              </w:rPr>
            </w:pPr>
            <w:r w:rsidRPr="00931B04">
              <w:rPr>
                <w:i/>
                <w:iCs/>
                <w:sz w:val="24"/>
                <w:szCs w:val="24"/>
                <w:highlight w:val="yellow"/>
              </w:rPr>
              <w:t>(IM)</w:t>
            </w:r>
          </w:p>
        </w:tc>
        <w:tc>
          <w:tcPr>
            <w:tcW w:w="2290" w:type="dxa"/>
          </w:tcPr>
          <w:p w14:paraId="747BB38F" w14:textId="77777777" w:rsidR="007818CA" w:rsidRPr="007818CA" w:rsidRDefault="007818CA" w:rsidP="007818CA">
            <w:r w:rsidRPr="007818CA">
              <w:rPr>
                <w:b/>
                <w:i/>
              </w:rPr>
              <w:t>Dose</w:t>
            </w:r>
            <w:r w:rsidRPr="007818CA">
              <w:t>: 0.05 mg/kg</w:t>
            </w:r>
          </w:p>
          <w:p w14:paraId="700A6C84" w14:textId="77777777" w:rsidR="00A60BF4" w:rsidRDefault="00A60BF4"/>
        </w:tc>
        <w:tc>
          <w:tcPr>
            <w:tcW w:w="1912" w:type="dxa"/>
          </w:tcPr>
          <w:p w14:paraId="5AF208CD" w14:textId="6DA1DC2D" w:rsidR="00A60BF4" w:rsidRDefault="00BE0844">
            <w:r w:rsidRPr="00BE0844">
              <w:t xml:space="preserve">Causes sedation, </w:t>
            </w:r>
            <w:r w:rsidR="001719B5" w:rsidRPr="00BE0844">
              <w:t>anesthesia</w:t>
            </w:r>
            <w:r w:rsidRPr="00BE0844">
              <w:t>, muscle relaxation and analgesia in many animals. It is 10–20 times more potent in ruminants than other species and is therefore used as a very useful sedative and analgesic in cattle, goats, and sheep</w:t>
            </w:r>
          </w:p>
        </w:tc>
        <w:tc>
          <w:tcPr>
            <w:tcW w:w="1440" w:type="dxa"/>
          </w:tcPr>
          <w:p w14:paraId="12487C43" w14:textId="3F49FD86" w:rsidR="00A60BF4" w:rsidRDefault="007818CA" w:rsidP="007818CA">
            <w:pPr>
              <w:jc w:val="center"/>
            </w:pPr>
            <w:r>
              <w:t>Bradycardia, decreased BP, decreased GI motility, increased intracranial pressure.</w:t>
            </w:r>
          </w:p>
        </w:tc>
        <w:tc>
          <w:tcPr>
            <w:tcW w:w="1211" w:type="dxa"/>
          </w:tcPr>
          <w:p w14:paraId="01D3DD60" w14:textId="7DB1CA21" w:rsidR="00A60BF4" w:rsidRDefault="00931B04">
            <w:r w:rsidRPr="00931B04">
              <w:t>Potent Alpha 2 adrenergic agonist</w:t>
            </w:r>
          </w:p>
        </w:tc>
        <w:tc>
          <w:tcPr>
            <w:tcW w:w="1664" w:type="dxa"/>
          </w:tcPr>
          <w:p w14:paraId="70D0CF51" w14:textId="77777777" w:rsidR="007818CA" w:rsidRDefault="007818CA" w:rsidP="007818CA">
            <w:r>
              <w:t>Meat – 10 days</w:t>
            </w:r>
          </w:p>
          <w:p w14:paraId="37E066D8" w14:textId="15AE4493" w:rsidR="00A60BF4" w:rsidRDefault="007818CA" w:rsidP="007818CA">
            <w:r>
              <w:t>Milk – 3 days</w:t>
            </w:r>
          </w:p>
        </w:tc>
      </w:tr>
      <w:tr w:rsidR="00BE0844" w14:paraId="0D10DF3B" w14:textId="77777777" w:rsidTr="00BE0844">
        <w:tc>
          <w:tcPr>
            <w:tcW w:w="2008" w:type="dxa"/>
          </w:tcPr>
          <w:p w14:paraId="72B2FB33" w14:textId="77777777" w:rsidR="00A60BF4" w:rsidRDefault="00F544F6">
            <w:pPr>
              <w:rPr>
                <w:i/>
                <w:iCs/>
                <w:sz w:val="24"/>
                <w:szCs w:val="24"/>
              </w:rPr>
            </w:pPr>
            <w:r w:rsidRPr="002544BC">
              <w:rPr>
                <w:i/>
                <w:iCs/>
                <w:sz w:val="24"/>
                <w:szCs w:val="24"/>
              </w:rPr>
              <w:t>Flunixin Meglumine</w:t>
            </w:r>
            <w:r w:rsidR="007818CA">
              <w:rPr>
                <w:i/>
                <w:iCs/>
                <w:sz w:val="24"/>
                <w:szCs w:val="24"/>
              </w:rPr>
              <w:t xml:space="preserve"> (5%)</w:t>
            </w:r>
            <w:r w:rsidR="00E53741">
              <w:rPr>
                <w:i/>
                <w:iCs/>
                <w:sz w:val="24"/>
                <w:szCs w:val="24"/>
              </w:rPr>
              <w:t xml:space="preserve"> </w:t>
            </w:r>
          </w:p>
          <w:p w14:paraId="550C509B" w14:textId="0898F62E" w:rsidR="00E53741" w:rsidRPr="002544BC" w:rsidRDefault="00E53741">
            <w:pPr>
              <w:rPr>
                <w:i/>
                <w:iCs/>
                <w:sz w:val="24"/>
                <w:szCs w:val="24"/>
              </w:rPr>
            </w:pPr>
            <w:r w:rsidRPr="00E53741">
              <w:rPr>
                <w:i/>
                <w:iCs/>
                <w:sz w:val="24"/>
                <w:szCs w:val="24"/>
                <w:highlight w:val="yellow"/>
              </w:rPr>
              <w:t>(IV – slowly)</w:t>
            </w:r>
          </w:p>
        </w:tc>
        <w:tc>
          <w:tcPr>
            <w:tcW w:w="2290" w:type="dxa"/>
          </w:tcPr>
          <w:p w14:paraId="547D34EE" w14:textId="3E0D9DD2" w:rsidR="00A60BF4" w:rsidRDefault="00931B04">
            <w:r w:rsidRPr="00BE0844">
              <w:rPr>
                <w:b/>
                <w:bCs/>
                <w:i/>
                <w:iCs/>
              </w:rPr>
              <w:t>Dose</w:t>
            </w:r>
            <w:r w:rsidRPr="00931B04">
              <w:t>: 1.1mg/kg</w:t>
            </w:r>
          </w:p>
        </w:tc>
        <w:tc>
          <w:tcPr>
            <w:tcW w:w="1912" w:type="dxa"/>
          </w:tcPr>
          <w:p w14:paraId="60E922EE" w14:textId="77777777" w:rsidR="00BE0844" w:rsidRDefault="00BE0844" w:rsidP="00BE0844">
            <w:r>
              <w:t>It has potent</w:t>
            </w:r>
          </w:p>
          <w:p w14:paraId="62647A81" w14:textId="6AEDDEBF" w:rsidR="00A60BF4" w:rsidRDefault="00BE0844" w:rsidP="00BE0844">
            <w:r>
              <w:t>anti-inflammatory and analgesic effects and is indicated for the treatment of acute and surgical pain. Flunixin is an exception among the NSAIDs as it relieves visceral pain and not only integument pain as most NSAIDs do.</w:t>
            </w:r>
          </w:p>
        </w:tc>
        <w:tc>
          <w:tcPr>
            <w:tcW w:w="1440" w:type="dxa"/>
          </w:tcPr>
          <w:p w14:paraId="43BCA438" w14:textId="43B550C1" w:rsidR="00A60BF4" w:rsidRDefault="00BE0844">
            <w:r w:rsidRPr="00BE0844">
              <w:t>Flunixin is not given rapidly via IV as some anaphylactic reactions have been observed. Treatment for longer than 3 days can result in hematochezia and hematuria.</w:t>
            </w:r>
          </w:p>
        </w:tc>
        <w:tc>
          <w:tcPr>
            <w:tcW w:w="1211" w:type="dxa"/>
          </w:tcPr>
          <w:p w14:paraId="36F4CDC3" w14:textId="10B5E9E8" w:rsidR="00A60BF4" w:rsidRDefault="00931B04">
            <w:r w:rsidRPr="00931B04">
              <w:t xml:space="preserve">Nicotinic acid derivative </w:t>
            </w:r>
            <w:r w:rsidR="00E53741" w:rsidRPr="00931B04">
              <w:t>non-steroidal</w:t>
            </w:r>
            <w:r w:rsidRPr="00931B04">
              <w:t xml:space="preserve"> anti-inflammatory (NSAID)</w:t>
            </w:r>
          </w:p>
        </w:tc>
        <w:tc>
          <w:tcPr>
            <w:tcW w:w="1664" w:type="dxa"/>
          </w:tcPr>
          <w:p w14:paraId="35CB34F5" w14:textId="77777777" w:rsidR="00BE0844" w:rsidRDefault="00BE0844" w:rsidP="00BE0844">
            <w:r>
              <w:t>Meat: 4 days</w:t>
            </w:r>
          </w:p>
          <w:p w14:paraId="68868E60" w14:textId="4FBB778A" w:rsidR="00A60BF4" w:rsidRDefault="00BE0844" w:rsidP="00BE0844">
            <w:r>
              <w:t>Milk: 72 hours</w:t>
            </w:r>
          </w:p>
        </w:tc>
      </w:tr>
      <w:tr w:rsidR="00BE0844" w14:paraId="3F11BD94" w14:textId="77777777" w:rsidTr="00BE0844">
        <w:tc>
          <w:tcPr>
            <w:tcW w:w="2008" w:type="dxa"/>
          </w:tcPr>
          <w:p w14:paraId="013A3347" w14:textId="77777777" w:rsidR="00931B04" w:rsidRDefault="00931B04" w:rsidP="00931B04">
            <w:pPr>
              <w:rPr>
                <w:i/>
                <w:iCs/>
                <w:sz w:val="24"/>
                <w:szCs w:val="24"/>
              </w:rPr>
            </w:pPr>
            <w:r w:rsidRPr="002544BC">
              <w:rPr>
                <w:i/>
                <w:iCs/>
                <w:sz w:val="24"/>
                <w:szCs w:val="24"/>
              </w:rPr>
              <w:t>Lidocaine (2%)</w:t>
            </w:r>
            <w:r>
              <w:rPr>
                <w:i/>
                <w:iCs/>
                <w:sz w:val="24"/>
                <w:szCs w:val="24"/>
              </w:rPr>
              <w:t xml:space="preserve"> </w:t>
            </w:r>
          </w:p>
          <w:p w14:paraId="5B50928E" w14:textId="53CB6BB5" w:rsidR="00931B04" w:rsidRPr="002544BC" w:rsidRDefault="00931B04" w:rsidP="00931B04">
            <w:pPr>
              <w:rPr>
                <w:i/>
                <w:iCs/>
                <w:sz w:val="24"/>
                <w:szCs w:val="24"/>
              </w:rPr>
            </w:pPr>
            <w:r>
              <w:rPr>
                <w:i/>
                <w:iCs/>
                <w:sz w:val="24"/>
                <w:szCs w:val="24"/>
                <w:highlight w:val="yellow"/>
              </w:rPr>
              <w:t>(</w:t>
            </w:r>
            <w:r w:rsidRPr="00931B04">
              <w:rPr>
                <w:i/>
                <w:iCs/>
                <w:sz w:val="24"/>
                <w:szCs w:val="24"/>
                <w:highlight w:val="yellow"/>
              </w:rPr>
              <w:t>Locally into spermatic cord and subcutaneous tissue dorsal to surgical site</w:t>
            </w:r>
            <w:r>
              <w:rPr>
                <w:i/>
                <w:iCs/>
                <w:sz w:val="24"/>
                <w:szCs w:val="24"/>
              </w:rPr>
              <w:t>)</w:t>
            </w:r>
          </w:p>
        </w:tc>
        <w:tc>
          <w:tcPr>
            <w:tcW w:w="2290" w:type="dxa"/>
          </w:tcPr>
          <w:p w14:paraId="628A98D8" w14:textId="77777777" w:rsidR="00931B04" w:rsidRPr="00931B04" w:rsidRDefault="00931B04" w:rsidP="00931B04">
            <w:r w:rsidRPr="00931B04">
              <w:rPr>
                <w:b/>
                <w:i/>
                <w:iCs/>
              </w:rPr>
              <w:t>Toxic Dose</w:t>
            </w:r>
            <w:r w:rsidRPr="00931B04">
              <w:rPr>
                <w:i/>
                <w:iCs/>
              </w:rPr>
              <w:t>:</w:t>
            </w:r>
            <w:r w:rsidRPr="00931B04">
              <w:t xml:space="preserve"> 10mg/kg</w:t>
            </w:r>
          </w:p>
          <w:p w14:paraId="6E900D3B" w14:textId="77777777" w:rsidR="00931B04" w:rsidRDefault="00931B04" w:rsidP="00931B04">
            <w:pPr>
              <w:rPr>
                <w:rFonts w:ascii="Times New Roman" w:hAnsi="Times New Roman" w:cs="Times New Roman"/>
              </w:rPr>
            </w:pPr>
            <w:r>
              <w:rPr>
                <w:rFonts w:ascii="Arial" w:hAnsi="Arial" w:cs="Arial"/>
                <w:b/>
                <w:i/>
                <w:iCs/>
                <w:color w:val="000000"/>
              </w:rPr>
              <w:t>Volume</w:t>
            </w:r>
            <w:r>
              <w:rPr>
                <w:rFonts w:ascii="Arial" w:hAnsi="Arial" w:cs="Arial"/>
                <w:color w:val="000000"/>
              </w:rPr>
              <w:t>= D x W / C</w:t>
            </w:r>
          </w:p>
          <w:p w14:paraId="6DE65A52" w14:textId="77777777" w:rsidR="00931B04" w:rsidRDefault="00931B04" w:rsidP="00931B04">
            <w:r>
              <w:t xml:space="preserve">Calculate ½ your TD volume (mL) to see up to how many mL it is safe to give the drug </w:t>
            </w:r>
          </w:p>
          <w:p w14:paraId="3D132D4C" w14:textId="403C8C7C" w:rsidR="00931B04" w:rsidRDefault="00931B04" w:rsidP="00931B04"/>
        </w:tc>
        <w:tc>
          <w:tcPr>
            <w:tcW w:w="1912" w:type="dxa"/>
          </w:tcPr>
          <w:p w14:paraId="23BDA30A" w14:textId="30E73F5D" w:rsidR="00931B04" w:rsidRDefault="00931B04" w:rsidP="00931B04">
            <w:r>
              <w:rPr>
                <w:rFonts w:ascii="Arial" w:hAnsi="Arial" w:cs="Arial"/>
                <w:color w:val="333333"/>
                <w:shd w:val="clear" w:color="auto" w:fill="FFFFFF"/>
              </w:rPr>
              <w:t xml:space="preserve">Lidocaine is a moderately long-acting local </w:t>
            </w:r>
            <w:proofErr w:type="spellStart"/>
            <w:r>
              <w:rPr>
                <w:rFonts w:ascii="Arial" w:hAnsi="Arial" w:cs="Arial"/>
                <w:color w:val="333333"/>
                <w:shd w:val="clear" w:color="auto" w:fill="FFFFFF"/>
              </w:rPr>
              <w:t>anaesthetic</w:t>
            </w:r>
            <w:proofErr w:type="spellEnd"/>
            <w:r>
              <w:rPr>
                <w:rFonts w:ascii="Arial" w:hAnsi="Arial" w:cs="Arial"/>
                <w:color w:val="333333"/>
                <w:shd w:val="clear" w:color="auto" w:fill="FFFFFF"/>
              </w:rPr>
              <w:t>. It blocks initiation and transmission of nerve impulses at the site of application by stabilizing the neuronal membrane.</w:t>
            </w:r>
          </w:p>
        </w:tc>
        <w:tc>
          <w:tcPr>
            <w:tcW w:w="1440" w:type="dxa"/>
          </w:tcPr>
          <w:p w14:paraId="3D2475B9" w14:textId="5BCDBA9E" w:rsidR="00931B04" w:rsidRDefault="00931B04" w:rsidP="00931B04">
            <w:r>
              <w:t>CNS signs, cardiac collapse, injection site necrosis</w:t>
            </w:r>
          </w:p>
        </w:tc>
        <w:tc>
          <w:tcPr>
            <w:tcW w:w="1211" w:type="dxa"/>
          </w:tcPr>
          <w:p w14:paraId="3AC511CD" w14:textId="073AB378" w:rsidR="00931B04" w:rsidRDefault="00931B04" w:rsidP="00931B04">
            <w:r w:rsidRPr="00931B04">
              <w:t>Class-1b antiarrhythmic drug</w:t>
            </w:r>
          </w:p>
        </w:tc>
        <w:tc>
          <w:tcPr>
            <w:tcW w:w="1664" w:type="dxa"/>
          </w:tcPr>
          <w:p w14:paraId="3548A5E9" w14:textId="6C942798" w:rsidR="00931B04" w:rsidRDefault="00931B04" w:rsidP="00931B04">
            <w:r>
              <w:t>Meat/milk – 24 hours</w:t>
            </w:r>
          </w:p>
        </w:tc>
      </w:tr>
      <w:tr w:rsidR="00BE0844" w14:paraId="42024846" w14:textId="77777777" w:rsidTr="00BE0844">
        <w:tc>
          <w:tcPr>
            <w:tcW w:w="2008" w:type="dxa"/>
          </w:tcPr>
          <w:p w14:paraId="26A299C1" w14:textId="5A2D0EAC" w:rsidR="00931B04" w:rsidRPr="002544BC" w:rsidRDefault="00931B04" w:rsidP="00931B04">
            <w:pPr>
              <w:rPr>
                <w:i/>
                <w:iCs/>
                <w:sz w:val="24"/>
                <w:szCs w:val="24"/>
              </w:rPr>
            </w:pPr>
            <w:proofErr w:type="spellStart"/>
            <w:r w:rsidRPr="002544BC">
              <w:rPr>
                <w:i/>
                <w:iCs/>
                <w:sz w:val="24"/>
                <w:szCs w:val="24"/>
              </w:rPr>
              <w:t>Penstrep</w:t>
            </w:r>
            <w:proofErr w:type="spellEnd"/>
            <w:r>
              <w:rPr>
                <w:i/>
                <w:iCs/>
                <w:sz w:val="24"/>
                <w:szCs w:val="24"/>
              </w:rPr>
              <w:t xml:space="preserve"> – </w:t>
            </w:r>
            <w:r w:rsidRPr="00931B04">
              <w:rPr>
                <w:i/>
                <w:iCs/>
                <w:sz w:val="24"/>
                <w:szCs w:val="24"/>
                <w:highlight w:val="yellow"/>
              </w:rPr>
              <w:t>(IM)</w:t>
            </w:r>
          </w:p>
        </w:tc>
        <w:tc>
          <w:tcPr>
            <w:tcW w:w="2290" w:type="dxa"/>
          </w:tcPr>
          <w:p w14:paraId="46F1436D" w14:textId="49F1CE33" w:rsidR="00931B04" w:rsidRDefault="00BE0844" w:rsidP="00931B04">
            <w:r w:rsidRPr="00BE0844">
              <w:rPr>
                <w:b/>
                <w:bCs/>
                <w:i/>
                <w:iCs/>
              </w:rPr>
              <w:t>Dose</w:t>
            </w:r>
            <w:r w:rsidRPr="00BE0844">
              <w:t>: 20,000 IU/kg</w:t>
            </w:r>
          </w:p>
        </w:tc>
        <w:tc>
          <w:tcPr>
            <w:tcW w:w="1912" w:type="dxa"/>
          </w:tcPr>
          <w:p w14:paraId="528460C9" w14:textId="77777777" w:rsidR="00931B04" w:rsidRDefault="00BE0844" w:rsidP="00931B04">
            <w:r w:rsidRPr="00BE0844">
              <w:t>Streptomycin is used to treat and prevent Gram(-) infections.</w:t>
            </w:r>
            <w:r>
              <w:t xml:space="preserve"> </w:t>
            </w:r>
          </w:p>
          <w:p w14:paraId="30B47CEC" w14:textId="7A8A855D" w:rsidR="00BE0844" w:rsidRDefault="00BE0844" w:rsidP="00931B04">
            <w:r w:rsidRPr="00BE0844">
              <w:lastRenderedPageBreak/>
              <w:t xml:space="preserve">Penicillin G is used in all species for the treatment of infections caused by Gram(+), </w:t>
            </w:r>
            <w:proofErr w:type="spellStart"/>
            <w:r w:rsidRPr="00BE0844">
              <w:t>nonpenicillinase</w:t>
            </w:r>
            <w:proofErr w:type="spellEnd"/>
            <w:r w:rsidRPr="00BE0844">
              <w:t xml:space="preserve"> producing pathogens.</w:t>
            </w:r>
          </w:p>
        </w:tc>
        <w:tc>
          <w:tcPr>
            <w:tcW w:w="1440" w:type="dxa"/>
          </w:tcPr>
          <w:p w14:paraId="172938C9" w14:textId="0393FB17" w:rsidR="00931B04" w:rsidRDefault="00931B04" w:rsidP="00931B04">
            <w:proofErr w:type="spellStart"/>
            <w:r>
              <w:lastRenderedPageBreak/>
              <w:t>Vestibulotoxic</w:t>
            </w:r>
            <w:proofErr w:type="spellEnd"/>
            <w:r>
              <w:t xml:space="preserve">, nephrotoxic, </w:t>
            </w:r>
            <w:r>
              <w:lastRenderedPageBreak/>
              <w:t>neuromuscular blockade</w:t>
            </w:r>
          </w:p>
        </w:tc>
        <w:tc>
          <w:tcPr>
            <w:tcW w:w="1211" w:type="dxa"/>
          </w:tcPr>
          <w:p w14:paraId="237442B3" w14:textId="162260EA" w:rsidR="00931B04" w:rsidRDefault="00BE0844" w:rsidP="00931B04">
            <w:r w:rsidRPr="00BE0844">
              <w:lastRenderedPageBreak/>
              <w:t xml:space="preserve">Allergic reactions to penicillin </w:t>
            </w:r>
            <w:r w:rsidRPr="00BE0844">
              <w:lastRenderedPageBreak/>
              <w:t>may occur in animals, especially cattle</w:t>
            </w:r>
          </w:p>
        </w:tc>
        <w:tc>
          <w:tcPr>
            <w:tcW w:w="1664" w:type="dxa"/>
          </w:tcPr>
          <w:p w14:paraId="19F9D53D" w14:textId="77777777" w:rsidR="00931B04" w:rsidRDefault="00931B04" w:rsidP="00931B04">
            <w:r>
              <w:lastRenderedPageBreak/>
              <w:t>Meat – 30 days</w:t>
            </w:r>
          </w:p>
          <w:p w14:paraId="3E2F9209" w14:textId="207657BC" w:rsidR="00931B04" w:rsidRDefault="00931B04" w:rsidP="00931B04">
            <w:r>
              <w:t>Milk – 4 days</w:t>
            </w:r>
          </w:p>
        </w:tc>
      </w:tr>
      <w:tr w:rsidR="00BE0844" w14:paraId="18E8FCC4" w14:textId="77777777" w:rsidTr="00BE0844">
        <w:tc>
          <w:tcPr>
            <w:tcW w:w="2008" w:type="dxa"/>
          </w:tcPr>
          <w:p w14:paraId="38CAF0F9" w14:textId="73E1DF5E" w:rsidR="00931B04" w:rsidRPr="002544BC" w:rsidRDefault="00931B04" w:rsidP="00931B04">
            <w:pPr>
              <w:rPr>
                <w:i/>
                <w:iCs/>
                <w:sz w:val="24"/>
                <w:szCs w:val="24"/>
              </w:rPr>
            </w:pPr>
            <w:r w:rsidRPr="002544BC">
              <w:rPr>
                <w:i/>
                <w:iCs/>
                <w:sz w:val="24"/>
                <w:szCs w:val="24"/>
              </w:rPr>
              <w:t xml:space="preserve">Tolazoline </w:t>
            </w:r>
            <w:r>
              <w:rPr>
                <w:i/>
                <w:iCs/>
                <w:sz w:val="24"/>
                <w:szCs w:val="24"/>
              </w:rPr>
              <w:t>10% or 100 mg/mL</w:t>
            </w:r>
          </w:p>
          <w:p w14:paraId="4B9FFC7E" w14:textId="77777777" w:rsidR="00931B04" w:rsidRDefault="00931B04" w:rsidP="00931B04">
            <w:pPr>
              <w:rPr>
                <w:i/>
                <w:iCs/>
                <w:sz w:val="24"/>
                <w:szCs w:val="24"/>
              </w:rPr>
            </w:pPr>
            <w:r w:rsidRPr="00BE0844">
              <w:rPr>
                <w:i/>
                <w:iCs/>
                <w:sz w:val="24"/>
                <w:szCs w:val="24"/>
                <w:highlight w:val="yellow"/>
              </w:rPr>
              <w:t>(in case of emergency for Xylazine reversal)</w:t>
            </w:r>
            <w:r w:rsidRPr="002544BC">
              <w:rPr>
                <w:i/>
                <w:iCs/>
                <w:sz w:val="24"/>
                <w:szCs w:val="24"/>
              </w:rPr>
              <w:t xml:space="preserve"> </w:t>
            </w:r>
          </w:p>
          <w:p w14:paraId="6C9B7992" w14:textId="7585F7A9" w:rsidR="00E53741" w:rsidRPr="002544BC" w:rsidRDefault="00E53741" w:rsidP="00931B04">
            <w:pPr>
              <w:rPr>
                <w:i/>
                <w:iCs/>
                <w:sz w:val="24"/>
                <w:szCs w:val="24"/>
              </w:rPr>
            </w:pPr>
            <w:r w:rsidRPr="001719B5">
              <w:rPr>
                <w:i/>
                <w:iCs/>
                <w:sz w:val="24"/>
                <w:szCs w:val="24"/>
                <w:highlight w:val="yellow"/>
              </w:rPr>
              <w:t>(IV</w:t>
            </w:r>
            <w:r w:rsidR="001719B5" w:rsidRPr="001719B5">
              <w:rPr>
                <w:i/>
                <w:iCs/>
                <w:sz w:val="24"/>
                <w:szCs w:val="24"/>
                <w:highlight w:val="yellow"/>
              </w:rPr>
              <w:t>)</w:t>
            </w:r>
          </w:p>
        </w:tc>
        <w:tc>
          <w:tcPr>
            <w:tcW w:w="2290" w:type="dxa"/>
          </w:tcPr>
          <w:p w14:paraId="1960779C" w14:textId="4B967B6F" w:rsidR="00931B04" w:rsidRDefault="00931B04" w:rsidP="00931B04">
            <w:r w:rsidRPr="00931B04">
              <w:rPr>
                <w:b/>
                <w:i/>
              </w:rPr>
              <w:t>D</w:t>
            </w:r>
            <w:r w:rsidR="001719B5">
              <w:rPr>
                <w:b/>
                <w:i/>
              </w:rPr>
              <w:t>ose</w:t>
            </w:r>
            <w:r w:rsidRPr="00931B04">
              <w:t>: 4x xylazine dose</w:t>
            </w:r>
            <w:r>
              <w:t xml:space="preserve"> </w:t>
            </w:r>
          </w:p>
          <w:p w14:paraId="0F24C113" w14:textId="0E6881F0" w:rsidR="00BE0844" w:rsidRDefault="00931B04" w:rsidP="00BE0844">
            <w:r>
              <w:t>E</w:t>
            </w:r>
            <w:r w:rsidR="001719B5">
              <w:t>.</w:t>
            </w:r>
            <w:r>
              <w:t>g</w:t>
            </w:r>
            <w:r w:rsidR="001719B5">
              <w:t>.</w:t>
            </w:r>
            <w:r>
              <w:t xml:space="preserve"> = </w:t>
            </w:r>
            <w:r w:rsidR="00BE0844">
              <w:t>4 x .05 = .2mg/kg</w:t>
            </w:r>
          </w:p>
          <w:p w14:paraId="100FAE54" w14:textId="77777777" w:rsidR="00BE0844" w:rsidRDefault="00BE0844" w:rsidP="00BE0844">
            <w:r>
              <w:t>Vol: (250kg x .2mg/kg) / 100mg/mL</w:t>
            </w:r>
          </w:p>
          <w:p w14:paraId="69C57F01" w14:textId="58A64B96" w:rsidR="00BE0844" w:rsidRPr="00931B04" w:rsidRDefault="00BE0844" w:rsidP="00BE0844">
            <w:r>
              <w:t>= .5 mL of</w:t>
            </w:r>
            <w:r>
              <w:t xml:space="preserve"> Tolazoline to be given if needed</w:t>
            </w:r>
          </w:p>
          <w:p w14:paraId="2393D592" w14:textId="77777777" w:rsidR="00931B04" w:rsidRDefault="00931B04" w:rsidP="00931B04"/>
        </w:tc>
        <w:tc>
          <w:tcPr>
            <w:tcW w:w="1912" w:type="dxa"/>
          </w:tcPr>
          <w:p w14:paraId="7FC7AB31" w14:textId="77777777" w:rsidR="00BE0844" w:rsidRDefault="00BE0844" w:rsidP="00BE0844">
            <w:r>
              <w:t>A direct peripheral vasodilator. It has direct actions on blood vessels; decreasing the pulmonary arterial pressure and peripheral resistance, and increasing venous capacity and cardiac output and can cause tachycardia, hypotension, and increased</w:t>
            </w:r>
          </w:p>
          <w:p w14:paraId="7974FB82" w14:textId="29FF756E" w:rsidR="00931B04" w:rsidRDefault="00BE0844" w:rsidP="00BE0844">
            <w:r>
              <w:t>GI motility</w:t>
            </w:r>
          </w:p>
        </w:tc>
        <w:tc>
          <w:tcPr>
            <w:tcW w:w="1440" w:type="dxa"/>
          </w:tcPr>
          <w:p w14:paraId="17E19048" w14:textId="538D16F8" w:rsidR="00931B04" w:rsidRDefault="00931B04" w:rsidP="00931B04">
            <w:r>
              <w:t>Tachycardia, peripheral vasodilation, hyperalgesia</w:t>
            </w:r>
          </w:p>
        </w:tc>
        <w:tc>
          <w:tcPr>
            <w:tcW w:w="1211" w:type="dxa"/>
          </w:tcPr>
          <w:p w14:paraId="1D251209" w14:textId="77777777" w:rsidR="00931B04" w:rsidRDefault="00931B04" w:rsidP="00931B04">
            <w:r w:rsidRPr="00931B04">
              <w:t>Alpha 1 and 2 adrenergic competitive antagonist</w:t>
            </w:r>
            <w:r w:rsidR="001719B5">
              <w:t xml:space="preserve"> </w:t>
            </w:r>
          </w:p>
          <w:p w14:paraId="4368DCEB" w14:textId="709F9B42" w:rsidR="001719B5" w:rsidRDefault="001719B5" w:rsidP="00931B04">
            <w:r>
              <w:t>(reversal agent)</w:t>
            </w:r>
          </w:p>
        </w:tc>
        <w:tc>
          <w:tcPr>
            <w:tcW w:w="1664" w:type="dxa"/>
          </w:tcPr>
          <w:p w14:paraId="70C33F9D" w14:textId="77777777" w:rsidR="00931B04" w:rsidRDefault="00931B04" w:rsidP="00931B04">
            <w:r>
              <w:t>Meat – 8 days</w:t>
            </w:r>
          </w:p>
          <w:p w14:paraId="28EFF725" w14:textId="0D6C6B4A" w:rsidR="00931B04" w:rsidRDefault="00931B04" w:rsidP="00931B04">
            <w:r>
              <w:t>Milk – 2 days</w:t>
            </w:r>
          </w:p>
        </w:tc>
      </w:tr>
      <w:tr w:rsidR="00BE0844" w14:paraId="06FFDDC4" w14:textId="77777777" w:rsidTr="00BE0844">
        <w:tc>
          <w:tcPr>
            <w:tcW w:w="2008" w:type="dxa"/>
          </w:tcPr>
          <w:p w14:paraId="33578B73" w14:textId="77777777" w:rsidR="00E53741" w:rsidRDefault="00931B04" w:rsidP="00931B04">
            <w:pPr>
              <w:rPr>
                <w:i/>
                <w:iCs/>
                <w:sz w:val="24"/>
                <w:szCs w:val="24"/>
              </w:rPr>
            </w:pPr>
            <w:r w:rsidRPr="002544BC">
              <w:rPr>
                <w:i/>
                <w:iCs/>
                <w:sz w:val="24"/>
                <w:szCs w:val="24"/>
              </w:rPr>
              <w:t>Tetanus Antitoxin</w:t>
            </w:r>
            <w:r w:rsidR="00E53741">
              <w:rPr>
                <w:i/>
                <w:iCs/>
                <w:sz w:val="24"/>
                <w:szCs w:val="24"/>
              </w:rPr>
              <w:t xml:space="preserve"> </w:t>
            </w:r>
          </w:p>
          <w:p w14:paraId="3D35B921" w14:textId="33F2E307" w:rsidR="00931B04" w:rsidRPr="002544BC" w:rsidRDefault="00E53741" w:rsidP="00931B04">
            <w:pPr>
              <w:rPr>
                <w:i/>
                <w:iCs/>
                <w:sz w:val="24"/>
                <w:szCs w:val="24"/>
              </w:rPr>
            </w:pPr>
            <w:r w:rsidRPr="00E53741">
              <w:rPr>
                <w:i/>
                <w:iCs/>
                <w:sz w:val="24"/>
                <w:szCs w:val="24"/>
                <w:highlight w:val="yellow"/>
              </w:rPr>
              <w:t>(SC/IM)</w:t>
            </w:r>
            <w:r w:rsidR="00931B04" w:rsidRPr="002544BC">
              <w:rPr>
                <w:i/>
                <w:iCs/>
                <w:sz w:val="24"/>
                <w:szCs w:val="24"/>
              </w:rPr>
              <w:t xml:space="preserve"> </w:t>
            </w:r>
          </w:p>
        </w:tc>
        <w:tc>
          <w:tcPr>
            <w:tcW w:w="2290" w:type="dxa"/>
          </w:tcPr>
          <w:p w14:paraId="510BFD3B" w14:textId="71FB8B4F" w:rsidR="00931B04" w:rsidRDefault="00931B04" w:rsidP="00931B04">
            <w:r w:rsidRPr="007818CA">
              <w:rPr>
                <w:b/>
                <w:i/>
              </w:rPr>
              <w:t>Dose</w:t>
            </w:r>
            <w:r w:rsidRPr="007818CA">
              <w:t>: 1500 units</w:t>
            </w:r>
            <w:r>
              <w:t xml:space="preserve"> – 1 5mL vial contains 1500 units</w:t>
            </w:r>
          </w:p>
        </w:tc>
        <w:tc>
          <w:tcPr>
            <w:tcW w:w="1912" w:type="dxa"/>
          </w:tcPr>
          <w:p w14:paraId="53FE9CE5" w14:textId="7C043651" w:rsidR="00931B04" w:rsidRDefault="00E53741" w:rsidP="00931B04">
            <w:r w:rsidRPr="00E53741">
              <w:t>Neutralizes the toxin produced by Clostridium tetani before it is transported to the nervous system via the circulation. It can also neutralize toxin locally and prevent its systemic absorption. Thus, antitoxin can be given locally, at the site of toxin production, intravenously (in severe cases), and intramuscularly (in less severe cases)</w:t>
            </w:r>
          </w:p>
        </w:tc>
        <w:tc>
          <w:tcPr>
            <w:tcW w:w="1440" w:type="dxa"/>
          </w:tcPr>
          <w:p w14:paraId="62EB4E14" w14:textId="77777777" w:rsidR="00931B04" w:rsidRDefault="00931B04" w:rsidP="00931B04">
            <w:r>
              <w:t>Serum sickness</w:t>
            </w:r>
            <w:r w:rsidR="00E53741">
              <w:t xml:space="preserve"> </w:t>
            </w:r>
          </w:p>
          <w:p w14:paraId="69D5DC93" w14:textId="30E60982" w:rsidR="00E53741" w:rsidRDefault="00E53741" w:rsidP="00931B04">
            <w:r>
              <w:t xml:space="preserve">+ </w:t>
            </w:r>
            <w:r w:rsidRPr="00E53741">
              <w:t>Risk of anaphylactic reaction</w:t>
            </w:r>
            <w:r>
              <w:t xml:space="preserve"> </w:t>
            </w:r>
          </w:p>
        </w:tc>
        <w:tc>
          <w:tcPr>
            <w:tcW w:w="1211" w:type="dxa"/>
          </w:tcPr>
          <w:p w14:paraId="4C7BD602" w14:textId="7FFCDD0F" w:rsidR="00931B04" w:rsidRDefault="00BE0844" w:rsidP="00931B04">
            <w:r w:rsidRPr="00BE0844">
              <w:t>Systemic passive immunizing agent.</w:t>
            </w:r>
          </w:p>
        </w:tc>
        <w:tc>
          <w:tcPr>
            <w:tcW w:w="1664" w:type="dxa"/>
          </w:tcPr>
          <w:p w14:paraId="45CDE610" w14:textId="357A376F" w:rsidR="00931B04" w:rsidRDefault="00931B04" w:rsidP="00931B04">
            <w:r>
              <w:t>Meat/Milk – 24 hours</w:t>
            </w:r>
          </w:p>
        </w:tc>
      </w:tr>
    </w:tbl>
    <w:p w14:paraId="1C040F52" w14:textId="77777777" w:rsidR="00624D59" w:rsidRDefault="00002F68"/>
    <w:sectPr w:rsidR="00624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B3"/>
    <w:rsid w:val="00002F68"/>
    <w:rsid w:val="001719B5"/>
    <w:rsid w:val="002057B3"/>
    <w:rsid w:val="002544BC"/>
    <w:rsid w:val="004A11C3"/>
    <w:rsid w:val="007818CA"/>
    <w:rsid w:val="00903883"/>
    <w:rsid w:val="00931B04"/>
    <w:rsid w:val="00A60BF4"/>
    <w:rsid w:val="00BE0844"/>
    <w:rsid w:val="00E53741"/>
    <w:rsid w:val="00F54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2FD8"/>
  <w15:chartTrackingRefBased/>
  <w15:docId w15:val="{C7B0D975-BC59-4387-9D4C-25CC04CF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39241">
      <w:bodyDiv w:val="1"/>
      <w:marLeft w:val="0"/>
      <w:marRight w:val="0"/>
      <w:marTop w:val="0"/>
      <w:marBottom w:val="0"/>
      <w:divBdr>
        <w:top w:val="none" w:sz="0" w:space="0" w:color="auto"/>
        <w:left w:val="none" w:sz="0" w:space="0" w:color="auto"/>
        <w:bottom w:val="none" w:sz="0" w:space="0" w:color="auto"/>
        <w:right w:val="none" w:sz="0" w:space="0" w:color="auto"/>
      </w:divBdr>
    </w:div>
    <w:div w:id="463352136">
      <w:bodyDiv w:val="1"/>
      <w:marLeft w:val="0"/>
      <w:marRight w:val="0"/>
      <w:marTop w:val="0"/>
      <w:marBottom w:val="0"/>
      <w:divBdr>
        <w:top w:val="none" w:sz="0" w:space="0" w:color="auto"/>
        <w:left w:val="none" w:sz="0" w:space="0" w:color="auto"/>
        <w:bottom w:val="none" w:sz="0" w:space="0" w:color="auto"/>
        <w:right w:val="none" w:sz="0" w:space="0" w:color="auto"/>
      </w:divBdr>
    </w:div>
    <w:div w:id="978916637">
      <w:bodyDiv w:val="1"/>
      <w:marLeft w:val="0"/>
      <w:marRight w:val="0"/>
      <w:marTop w:val="0"/>
      <w:marBottom w:val="0"/>
      <w:divBdr>
        <w:top w:val="none" w:sz="0" w:space="0" w:color="auto"/>
        <w:left w:val="none" w:sz="0" w:space="0" w:color="auto"/>
        <w:bottom w:val="none" w:sz="0" w:space="0" w:color="auto"/>
        <w:right w:val="none" w:sz="0" w:space="0" w:color="auto"/>
      </w:divBdr>
    </w:div>
    <w:div w:id="1641575713">
      <w:bodyDiv w:val="1"/>
      <w:marLeft w:val="0"/>
      <w:marRight w:val="0"/>
      <w:marTop w:val="0"/>
      <w:marBottom w:val="0"/>
      <w:divBdr>
        <w:top w:val="none" w:sz="0" w:space="0" w:color="auto"/>
        <w:left w:val="none" w:sz="0" w:space="0" w:color="auto"/>
        <w:bottom w:val="none" w:sz="0" w:space="0" w:color="auto"/>
        <w:right w:val="none" w:sz="0" w:space="0" w:color="auto"/>
      </w:divBdr>
    </w:div>
    <w:div w:id="1824077809">
      <w:bodyDiv w:val="1"/>
      <w:marLeft w:val="0"/>
      <w:marRight w:val="0"/>
      <w:marTop w:val="0"/>
      <w:marBottom w:val="0"/>
      <w:divBdr>
        <w:top w:val="none" w:sz="0" w:space="0" w:color="auto"/>
        <w:left w:val="none" w:sz="0" w:space="0" w:color="auto"/>
        <w:bottom w:val="none" w:sz="0" w:space="0" w:color="auto"/>
        <w:right w:val="none" w:sz="0" w:space="0" w:color="auto"/>
      </w:divBdr>
    </w:div>
    <w:div w:id="1963146109">
      <w:bodyDiv w:val="1"/>
      <w:marLeft w:val="0"/>
      <w:marRight w:val="0"/>
      <w:marTop w:val="0"/>
      <w:marBottom w:val="0"/>
      <w:divBdr>
        <w:top w:val="none" w:sz="0" w:space="0" w:color="auto"/>
        <w:left w:val="none" w:sz="0" w:space="0" w:color="auto"/>
        <w:bottom w:val="none" w:sz="0" w:space="0" w:color="auto"/>
        <w:right w:val="none" w:sz="0" w:space="0" w:color="auto"/>
      </w:divBdr>
    </w:div>
    <w:div w:id="2038461188">
      <w:bodyDiv w:val="1"/>
      <w:marLeft w:val="0"/>
      <w:marRight w:val="0"/>
      <w:marTop w:val="0"/>
      <w:marBottom w:val="0"/>
      <w:divBdr>
        <w:top w:val="none" w:sz="0" w:space="0" w:color="auto"/>
        <w:left w:val="none" w:sz="0" w:space="0" w:color="auto"/>
        <w:bottom w:val="none" w:sz="0" w:space="0" w:color="auto"/>
        <w:right w:val="none" w:sz="0" w:space="0" w:color="auto"/>
      </w:divBdr>
    </w:div>
    <w:div w:id="2084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alexandra.thomasrhoden</dc:creator>
  <cp:keywords/>
  <dc:description/>
  <cp:lastModifiedBy>alexandra.thomasrhoden</cp:lastModifiedBy>
  <cp:revision>7</cp:revision>
  <dcterms:created xsi:type="dcterms:W3CDTF">2021-10-03T07:58:00Z</dcterms:created>
  <dcterms:modified xsi:type="dcterms:W3CDTF">2021-10-03T21:19:00Z</dcterms:modified>
</cp:coreProperties>
</file>