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44FF9" w14:textId="66AC96C6" w:rsidR="00FB6FBE" w:rsidRDefault="00720B3F" w:rsidP="00720B3F">
      <w:pPr>
        <w:jc w:val="center"/>
        <w:rPr>
          <w:b/>
          <w:bCs/>
          <w:sz w:val="32"/>
          <w:szCs w:val="28"/>
        </w:rPr>
      </w:pPr>
      <w:r w:rsidRPr="00720B3F">
        <w:rPr>
          <w:b/>
          <w:bCs/>
          <w:sz w:val="32"/>
          <w:szCs w:val="28"/>
        </w:rPr>
        <w:t xml:space="preserve">Local </w:t>
      </w:r>
      <w:r w:rsidR="001D1F82" w:rsidRPr="00720B3F">
        <w:rPr>
          <w:b/>
          <w:bCs/>
          <w:sz w:val="32"/>
          <w:szCs w:val="28"/>
        </w:rPr>
        <w:t>Anaesthetic Agents</w:t>
      </w:r>
    </w:p>
    <w:p w14:paraId="0621069F" w14:textId="77777777" w:rsidR="00720B3F" w:rsidRPr="00720B3F" w:rsidRDefault="00720B3F" w:rsidP="00720B3F">
      <w:pPr>
        <w:jc w:val="center"/>
        <w:rPr>
          <w:b/>
          <w:bCs/>
          <w:sz w:val="32"/>
          <w:szCs w:val="28"/>
        </w:rPr>
      </w:pPr>
    </w:p>
    <w:tbl>
      <w:tblPr>
        <w:tblStyle w:val="TableGrid"/>
        <w:tblW w:w="13339" w:type="dxa"/>
        <w:tblLook w:val="04A0" w:firstRow="1" w:lastRow="0" w:firstColumn="1" w:lastColumn="0" w:noHBand="0" w:noVBand="1"/>
      </w:tblPr>
      <w:tblGrid>
        <w:gridCol w:w="2515"/>
        <w:gridCol w:w="3780"/>
        <w:gridCol w:w="3240"/>
        <w:gridCol w:w="3804"/>
      </w:tblGrid>
      <w:tr w:rsidR="001D1F82" w14:paraId="03765A05" w14:textId="77777777" w:rsidTr="00720B3F">
        <w:trPr>
          <w:trHeight w:val="440"/>
        </w:trPr>
        <w:tc>
          <w:tcPr>
            <w:tcW w:w="2515" w:type="dxa"/>
            <w:tcBorders>
              <w:top w:val="nil"/>
              <w:left w:val="nil"/>
            </w:tcBorders>
          </w:tcPr>
          <w:p w14:paraId="78308F0B" w14:textId="01833D3E" w:rsidR="001D1F82" w:rsidRDefault="001D1F82" w:rsidP="00A86DAB"/>
        </w:tc>
        <w:tc>
          <w:tcPr>
            <w:tcW w:w="3780" w:type="dxa"/>
            <w:vAlign w:val="center"/>
          </w:tcPr>
          <w:p w14:paraId="44DCCCE0" w14:textId="44879112" w:rsidR="001D1F82" w:rsidRPr="00720B3F" w:rsidRDefault="001D1F82" w:rsidP="00720B3F">
            <w:pPr>
              <w:jc w:val="center"/>
              <w:rPr>
                <w:b/>
                <w:bCs/>
                <w:sz w:val="28"/>
                <w:szCs w:val="24"/>
              </w:rPr>
            </w:pPr>
            <w:r w:rsidRPr="00720B3F">
              <w:rPr>
                <w:b/>
                <w:bCs/>
                <w:sz w:val="28"/>
                <w:szCs w:val="24"/>
              </w:rPr>
              <w:t>Lidocaine HCL</w:t>
            </w:r>
            <w:r w:rsidR="00720B3F" w:rsidRPr="00720B3F">
              <w:rPr>
                <w:b/>
                <w:bCs/>
                <w:sz w:val="28"/>
                <w:szCs w:val="24"/>
              </w:rPr>
              <w:t xml:space="preserve"> </w:t>
            </w:r>
            <w:r w:rsidRPr="00720B3F">
              <w:rPr>
                <w:b/>
                <w:bCs/>
                <w:sz w:val="28"/>
                <w:szCs w:val="24"/>
              </w:rPr>
              <w:t>(2%)</w:t>
            </w:r>
          </w:p>
        </w:tc>
        <w:tc>
          <w:tcPr>
            <w:tcW w:w="3240" w:type="dxa"/>
            <w:vAlign w:val="center"/>
          </w:tcPr>
          <w:p w14:paraId="1E1DBFD1" w14:textId="179B869A" w:rsidR="001D1F82" w:rsidRPr="00720B3F" w:rsidRDefault="00522510" w:rsidP="00720B3F">
            <w:pPr>
              <w:jc w:val="center"/>
              <w:rPr>
                <w:b/>
                <w:bCs/>
                <w:sz w:val="28"/>
                <w:szCs w:val="24"/>
              </w:rPr>
            </w:pPr>
            <w:r w:rsidRPr="00720B3F">
              <w:rPr>
                <w:b/>
                <w:bCs/>
                <w:sz w:val="28"/>
                <w:szCs w:val="24"/>
              </w:rPr>
              <w:t>M</w:t>
            </w:r>
            <w:r w:rsidR="001D1F82" w:rsidRPr="00720B3F">
              <w:rPr>
                <w:b/>
                <w:bCs/>
                <w:sz w:val="28"/>
                <w:szCs w:val="24"/>
              </w:rPr>
              <w:t>epivacaine HCL</w:t>
            </w:r>
            <w:r w:rsidR="00720B3F" w:rsidRPr="00720B3F">
              <w:rPr>
                <w:b/>
                <w:bCs/>
                <w:sz w:val="28"/>
                <w:szCs w:val="24"/>
              </w:rPr>
              <w:t xml:space="preserve"> </w:t>
            </w:r>
            <w:r w:rsidR="001D1F82" w:rsidRPr="00720B3F">
              <w:rPr>
                <w:b/>
                <w:bCs/>
                <w:sz w:val="28"/>
                <w:szCs w:val="24"/>
              </w:rPr>
              <w:t>(2%)</w:t>
            </w:r>
          </w:p>
        </w:tc>
        <w:tc>
          <w:tcPr>
            <w:tcW w:w="3804" w:type="dxa"/>
            <w:vAlign w:val="center"/>
          </w:tcPr>
          <w:p w14:paraId="79EC90A7" w14:textId="4480ADE2" w:rsidR="001D1F82" w:rsidRPr="00720B3F" w:rsidRDefault="00720B3F" w:rsidP="00720B3F">
            <w:pPr>
              <w:jc w:val="center"/>
              <w:rPr>
                <w:b/>
                <w:bCs/>
                <w:sz w:val="28"/>
                <w:szCs w:val="24"/>
              </w:rPr>
            </w:pPr>
            <w:r w:rsidRPr="00720B3F">
              <w:rPr>
                <w:b/>
                <w:bCs/>
                <w:sz w:val="28"/>
                <w:szCs w:val="24"/>
              </w:rPr>
              <w:t>Bupivacaine</w:t>
            </w:r>
            <w:r w:rsidR="001D1F82" w:rsidRPr="00720B3F">
              <w:rPr>
                <w:b/>
                <w:bCs/>
                <w:sz w:val="28"/>
                <w:szCs w:val="24"/>
              </w:rPr>
              <w:t xml:space="preserve"> HCL</w:t>
            </w:r>
          </w:p>
        </w:tc>
      </w:tr>
      <w:tr w:rsidR="001D1F82" w14:paraId="5DF49975" w14:textId="77777777" w:rsidTr="00720B3F">
        <w:trPr>
          <w:trHeight w:val="365"/>
        </w:trPr>
        <w:tc>
          <w:tcPr>
            <w:tcW w:w="2515" w:type="dxa"/>
            <w:vAlign w:val="center"/>
          </w:tcPr>
          <w:p w14:paraId="2ED2A43E" w14:textId="7363E4B2" w:rsidR="001D1F82" w:rsidRPr="00720B3F" w:rsidRDefault="003A07F1" w:rsidP="00720B3F">
            <w:pPr>
              <w:jc w:val="center"/>
              <w:rPr>
                <w:b/>
                <w:bCs/>
              </w:rPr>
            </w:pPr>
            <w:r w:rsidRPr="00720B3F">
              <w:rPr>
                <w:b/>
                <w:bCs/>
              </w:rPr>
              <w:t>Onset of action</w:t>
            </w:r>
          </w:p>
        </w:tc>
        <w:tc>
          <w:tcPr>
            <w:tcW w:w="3780" w:type="dxa"/>
            <w:vAlign w:val="center"/>
          </w:tcPr>
          <w:p w14:paraId="28AF04ED" w14:textId="015815EF" w:rsidR="001D1F82" w:rsidRDefault="001B504E" w:rsidP="00720B3F">
            <w:r>
              <w:t>5-15 min</w:t>
            </w:r>
          </w:p>
        </w:tc>
        <w:tc>
          <w:tcPr>
            <w:tcW w:w="3240" w:type="dxa"/>
            <w:vAlign w:val="center"/>
          </w:tcPr>
          <w:p w14:paraId="2035DD95" w14:textId="4591CBDF" w:rsidR="001D1F82" w:rsidRDefault="001B504E" w:rsidP="00720B3F">
            <w:r>
              <w:t>5-30</w:t>
            </w:r>
          </w:p>
        </w:tc>
        <w:tc>
          <w:tcPr>
            <w:tcW w:w="3804" w:type="dxa"/>
            <w:vAlign w:val="center"/>
          </w:tcPr>
          <w:p w14:paraId="61F3B85C" w14:textId="6EFEE31C" w:rsidR="001D1F82" w:rsidRDefault="001B504E" w:rsidP="00720B3F">
            <w:r>
              <w:t>15-45</w:t>
            </w:r>
          </w:p>
        </w:tc>
      </w:tr>
      <w:tr w:rsidR="001D1F82" w14:paraId="199B3DA0" w14:textId="77777777" w:rsidTr="00720B3F">
        <w:trPr>
          <w:trHeight w:val="351"/>
        </w:trPr>
        <w:tc>
          <w:tcPr>
            <w:tcW w:w="2515" w:type="dxa"/>
            <w:vAlign w:val="center"/>
          </w:tcPr>
          <w:p w14:paraId="0BAFF6E6" w14:textId="33B24317" w:rsidR="001D1F82" w:rsidRPr="00720B3F" w:rsidRDefault="00720B3F" w:rsidP="00720B3F">
            <w:pPr>
              <w:jc w:val="center"/>
              <w:rPr>
                <w:b/>
                <w:bCs/>
              </w:rPr>
            </w:pPr>
            <w:r w:rsidRPr="00720B3F">
              <w:rPr>
                <w:b/>
                <w:bCs/>
              </w:rPr>
              <w:t>Duration</w:t>
            </w:r>
            <w:r w:rsidR="003A07F1" w:rsidRPr="00720B3F">
              <w:rPr>
                <w:b/>
                <w:bCs/>
              </w:rPr>
              <w:t xml:space="preserve"> of Act</w:t>
            </w:r>
            <w:r w:rsidRPr="00720B3F">
              <w:rPr>
                <w:b/>
                <w:bCs/>
              </w:rPr>
              <w:t>ion</w:t>
            </w:r>
          </w:p>
        </w:tc>
        <w:tc>
          <w:tcPr>
            <w:tcW w:w="3780" w:type="dxa"/>
            <w:vAlign w:val="center"/>
          </w:tcPr>
          <w:p w14:paraId="4C9879BD" w14:textId="4307FED5" w:rsidR="001D1F82" w:rsidRPr="003A07F1" w:rsidRDefault="003A07F1" w:rsidP="00720B3F">
            <w:pPr>
              <w:rPr>
                <w:b/>
                <w:bCs/>
              </w:rPr>
            </w:pPr>
            <w:r>
              <w:t>30-45 min</w:t>
            </w:r>
          </w:p>
        </w:tc>
        <w:tc>
          <w:tcPr>
            <w:tcW w:w="3240" w:type="dxa"/>
            <w:vAlign w:val="center"/>
          </w:tcPr>
          <w:p w14:paraId="1DD37F88" w14:textId="2E16726C" w:rsidR="001D1F82" w:rsidRDefault="003A07F1" w:rsidP="00720B3F">
            <w:r>
              <w:t>90-120 min</w:t>
            </w:r>
          </w:p>
        </w:tc>
        <w:tc>
          <w:tcPr>
            <w:tcW w:w="3804" w:type="dxa"/>
            <w:vAlign w:val="center"/>
          </w:tcPr>
          <w:p w14:paraId="789F7D6A" w14:textId="72A76064" w:rsidR="001D1F82" w:rsidRDefault="001B504E" w:rsidP="00720B3F">
            <w:r>
              <w:t>180-480 min</w:t>
            </w:r>
          </w:p>
        </w:tc>
      </w:tr>
      <w:tr w:rsidR="001D1F82" w14:paraId="1A996A14" w14:textId="77777777" w:rsidTr="00720B3F">
        <w:trPr>
          <w:trHeight w:val="1142"/>
        </w:trPr>
        <w:tc>
          <w:tcPr>
            <w:tcW w:w="2515" w:type="dxa"/>
            <w:vAlign w:val="center"/>
          </w:tcPr>
          <w:p w14:paraId="7397EF2D" w14:textId="476B5B9F" w:rsidR="001D1F82" w:rsidRPr="00720B3F" w:rsidRDefault="003A07F1" w:rsidP="00720B3F">
            <w:pPr>
              <w:jc w:val="center"/>
              <w:rPr>
                <w:b/>
                <w:bCs/>
              </w:rPr>
            </w:pPr>
            <w:r w:rsidRPr="00720B3F">
              <w:rPr>
                <w:b/>
                <w:bCs/>
              </w:rPr>
              <w:t>Reason for choice</w:t>
            </w:r>
          </w:p>
        </w:tc>
        <w:tc>
          <w:tcPr>
            <w:tcW w:w="3780" w:type="dxa"/>
            <w:vAlign w:val="center"/>
          </w:tcPr>
          <w:p w14:paraId="12DF6F35" w14:textId="713835B5" w:rsidR="001D1F82" w:rsidRDefault="003A07F1" w:rsidP="00720B3F">
            <w:r>
              <w:t xml:space="preserve">Common </w:t>
            </w:r>
            <w:r w:rsidR="00720B3F">
              <w:t>anaesthetic</w:t>
            </w:r>
            <w:r>
              <w:t xml:space="preserve"> agent during</w:t>
            </w:r>
            <w:r w:rsidR="00720B3F">
              <w:t xml:space="preserve"> lameness</w:t>
            </w:r>
            <w:r>
              <w:t xml:space="preserve"> </w:t>
            </w:r>
            <w:r w:rsidR="00720B3F">
              <w:t>examinations</w:t>
            </w:r>
            <w:r>
              <w:t xml:space="preserve"> when different diagnostic techniques</w:t>
            </w:r>
            <w:r w:rsidR="00720B3F">
              <w:t xml:space="preserve"> </w:t>
            </w:r>
            <w:r>
              <w:t>will be used</w:t>
            </w:r>
            <w:r w:rsidR="00720B3F">
              <w:t>.</w:t>
            </w:r>
          </w:p>
        </w:tc>
        <w:tc>
          <w:tcPr>
            <w:tcW w:w="3240" w:type="dxa"/>
            <w:vAlign w:val="center"/>
          </w:tcPr>
          <w:p w14:paraId="3207D33D" w14:textId="147156B2" w:rsidR="001D1F82" w:rsidRDefault="003A07F1" w:rsidP="00720B3F">
            <w:r>
              <w:t xml:space="preserve">Common </w:t>
            </w:r>
            <w:r w:rsidR="00720B3F">
              <w:t>anaesthetic</w:t>
            </w:r>
            <w:r>
              <w:t xml:space="preserve"> agent and less irritating that </w:t>
            </w:r>
            <w:r w:rsidR="00720B3F">
              <w:t>lidocaine.</w:t>
            </w:r>
          </w:p>
        </w:tc>
        <w:tc>
          <w:tcPr>
            <w:tcW w:w="3804" w:type="dxa"/>
            <w:vAlign w:val="center"/>
          </w:tcPr>
          <w:p w14:paraId="26BF7933" w14:textId="1609FCB4" w:rsidR="001D1F82" w:rsidRDefault="003A07F1" w:rsidP="00720B3F">
            <w:r>
              <w:t>Used to provide the longest relief of pai</w:t>
            </w:r>
            <w:r w:rsidR="001B504E">
              <w:t>n but has more toxic effects to tissue and is more used for pain relief with laminitis or fractures rather than lameness evaluations.</w:t>
            </w:r>
          </w:p>
        </w:tc>
      </w:tr>
    </w:tbl>
    <w:p w14:paraId="395E780E" w14:textId="58C48B84" w:rsidR="001D1F82" w:rsidRDefault="001D1F82"/>
    <w:p w14:paraId="07292FB5" w14:textId="5217E3AE" w:rsidR="00720B3F" w:rsidRDefault="00720B3F"/>
    <w:p w14:paraId="79867B80" w14:textId="373CCFEB" w:rsidR="00720B3F" w:rsidRDefault="00720B3F"/>
    <w:p w14:paraId="33012BEF" w14:textId="41FF669A" w:rsidR="00720B3F" w:rsidRDefault="00720B3F"/>
    <w:p w14:paraId="7E0FFF4D" w14:textId="46C2399D" w:rsidR="001B504E" w:rsidRDefault="001B504E"/>
    <w:p w14:paraId="242913A1" w14:textId="56E2C7ED" w:rsidR="001B504E" w:rsidRDefault="001B504E"/>
    <w:p w14:paraId="551CB107" w14:textId="77777777" w:rsidR="001B504E" w:rsidRDefault="001B504E"/>
    <w:p w14:paraId="325AF4B3" w14:textId="666A3EF5" w:rsidR="00720B3F" w:rsidRDefault="00720B3F"/>
    <w:p w14:paraId="14FE253B" w14:textId="74E7154F" w:rsidR="00720B3F" w:rsidRDefault="00720B3F"/>
    <w:p w14:paraId="60295F79" w14:textId="2E4094D4" w:rsidR="00720B3F" w:rsidRDefault="00720B3F"/>
    <w:p w14:paraId="7E9A43C2" w14:textId="7F2652E6" w:rsidR="00720B3F" w:rsidRDefault="00720B3F"/>
    <w:p w14:paraId="7C473145" w14:textId="523A1DAD" w:rsidR="00720B3F" w:rsidRDefault="00720B3F"/>
    <w:p w14:paraId="1A914832" w14:textId="77777777" w:rsidR="00720B3F" w:rsidRDefault="00720B3F"/>
    <w:sectPr w:rsidR="00720B3F" w:rsidSect="00720B3F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82"/>
    <w:rsid w:val="001B504E"/>
    <w:rsid w:val="001D1F82"/>
    <w:rsid w:val="003A07F1"/>
    <w:rsid w:val="00522510"/>
    <w:rsid w:val="005C01CA"/>
    <w:rsid w:val="00720B3F"/>
    <w:rsid w:val="00825FC7"/>
    <w:rsid w:val="00DB06E5"/>
    <w:rsid w:val="00FB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858FB"/>
  <w15:chartTrackingRefBased/>
  <w15:docId w15:val="{61987F6B-8A13-47C5-9D88-9E937640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color w:val="0000CC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1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Cooper</dc:creator>
  <cp:keywords/>
  <dc:description/>
  <cp:lastModifiedBy>Samantha Cooper</cp:lastModifiedBy>
  <cp:revision>3</cp:revision>
  <dcterms:created xsi:type="dcterms:W3CDTF">2021-10-10T21:34:00Z</dcterms:created>
  <dcterms:modified xsi:type="dcterms:W3CDTF">2021-10-11T00:07:00Z</dcterms:modified>
</cp:coreProperties>
</file>