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611"/>
      </w:tblGrid>
      <w:tr w:rsidR="00F447A0" w:rsidRPr="004931A6" w14:paraId="104C8434" w14:textId="77777777" w:rsidTr="004931A6">
        <w:trPr>
          <w:trHeight w:val="620"/>
        </w:trPr>
        <w:tc>
          <w:tcPr>
            <w:tcW w:w="9016" w:type="dxa"/>
            <w:gridSpan w:val="2"/>
            <w:shd w:val="clear" w:color="auto" w:fill="DEEAF6" w:themeFill="accent5" w:themeFillTint="33"/>
            <w:vAlign w:val="center"/>
          </w:tcPr>
          <w:p w14:paraId="6075550C" w14:textId="5A8D0E7B" w:rsidR="00F447A0" w:rsidRPr="004931A6" w:rsidRDefault="00F447A0" w:rsidP="00F447A0">
            <w:pPr>
              <w:jc w:val="center"/>
              <w:rPr>
                <w:b/>
                <w:bCs/>
              </w:rPr>
            </w:pPr>
            <w:r w:rsidRPr="004931A6">
              <w:rPr>
                <w:b/>
                <w:bCs/>
              </w:rPr>
              <w:t xml:space="preserve">Distal </w:t>
            </w:r>
            <w:r w:rsidR="004931A6" w:rsidRPr="004931A6">
              <w:rPr>
                <w:b/>
                <w:bCs/>
              </w:rPr>
              <w:t>I</w:t>
            </w:r>
            <w:r w:rsidRPr="004931A6">
              <w:rPr>
                <w:b/>
                <w:bCs/>
              </w:rPr>
              <w:t xml:space="preserve">nterphalangeal </w:t>
            </w:r>
            <w:r w:rsidR="004931A6" w:rsidRPr="004931A6">
              <w:rPr>
                <w:b/>
                <w:bCs/>
              </w:rPr>
              <w:t>J</w:t>
            </w:r>
            <w:r w:rsidRPr="004931A6">
              <w:rPr>
                <w:b/>
                <w:bCs/>
              </w:rPr>
              <w:t xml:space="preserve">oint </w:t>
            </w:r>
            <w:r w:rsidR="004931A6" w:rsidRPr="004931A6">
              <w:rPr>
                <w:b/>
                <w:bCs/>
              </w:rPr>
              <w:t>B</w:t>
            </w:r>
            <w:r w:rsidRPr="004931A6">
              <w:rPr>
                <w:b/>
                <w:bCs/>
              </w:rPr>
              <w:t>lock</w:t>
            </w:r>
          </w:p>
        </w:tc>
      </w:tr>
      <w:tr w:rsidR="00F0451A" w14:paraId="04CF77A3" w14:textId="77777777" w:rsidTr="001E11CA">
        <w:tc>
          <w:tcPr>
            <w:tcW w:w="4405" w:type="dxa"/>
            <w:vAlign w:val="center"/>
          </w:tcPr>
          <w:p w14:paraId="33EF85AB" w14:textId="3AE19EB3" w:rsidR="00F0451A" w:rsidRDefault="00EE77D3" w:rsidP="004931A6">
            <w:pPr>
              <w:jc w:val="center"/>
            </w:pPr>
            <w:r>
              <w:t>Anatomy</w:t>
            </w:r>
          </w:p>
        </w:tc>
        <w:tc>
          <w:tcPr>
            <w:tcW w:w="4611" w:type="dxa"/>
          </w:tcPr>
          <w:p w14:paraId="06E7C725" w14:textId="36715E86" w:rsidR="00F0451A" w:rsidRDefault="00EE77D3" w:rsidP="00B5209E">
            <w:pPr>
              <w:pStyle w:val="ListParagraph"/>
              <w:numPr>
                <w:ilvl w:val="0"/>
                <w:numId w:val="2"/>
              </w:numPr>
            </w:pPr>
            <w:r>
              <w:t>Coffin joint, (P2</w:t>
            </w:r>
            <w:r w:rsidR="0038744F">
              <w:t>-P3)</w:t>
            </w:r>
          </w:p>
        </w:tc>
      </w:tr>
      <w:tr w:rsidR="00F447A0" w14:paraId="40682F7C" w14:textId="77777777" w:rsidTr="001E11CA">
        <w:tc>
          <w:tcPr>
            <w:tcW w:w="4405" w:type="dxa"/>
            <w:vAlign w:val="center"/>
          </w:tcPr>
          <w:p w14:paraId="6278865F" w14:textId="690D6548" w:rsidR="00F447A0" w:rsidRDefault="001B201F" w:rsidP="004931A6">
            <w:pPr>
              <w:jc w:val="center"/>
            </w:pPr>
            <w:r>
              <w:t>Preparation of the site</w:t>
            </w:r>
          </w:p>
        </w:tc>
        <w:tc>
          <w:tcPr>
            <w:tcW w:w="4611" w:type="dxa"/>
          </w:tcPr>
          <w:p w14:paraId="44C7CF4A" w14:textId="37AB4535" w:rsidR="00F447A0" w:rsidRDefault="001B201F" w:rsidP="00B5209E">
            <w:pPr>
              <w:pStyle w:val="ListParagraph"/>
              <w:numPr>
                <w:ilvl w:val="0"/>
                <w:numId w:val="2"/>
              </w:numPr>
            </w:pPr>
            <w:r>
              <w:t>Site should be disinfected with a</w:t>
            </w:r>
            <w:r w:rsidR="00B94F6D">
              <w:t xml:space="preserve"> </w:t>
            </w:r>
            <w:r w:rsidR="007152F9">
              <w:t>sterile antiseptic solution, such a chlorhexidine</w:t>
            </w:r>
          </w:p>
        </w:tc>
      </w:tr>
      <w:tr w:rsidR="00F447A0" w14:paraId="1766A633" w14:textId="77777777" w:rsidTr="001E11CA">
        <w:tc>
          <w:tcPr>
            <w:tcW w:w="4405" w:type="dxa"/>
            <w:vAlign w:val="center"/>
          </w:tcPr>
          <w:p w14:paraId="77F28D92" w14:textId="7C9204B4" w:rsidR="00F447A0" w:rsidRDefault="00C378AA" w:rsidP="004931A6">
            <w:pPr>
              <w:jc w:val="center"/>
            </w:pPr>
            <w:r>
              <w:t>Restraints</w:t>
            </w:r>
          </w:p>
        </w:tc>
        <w:tc>
          <w:tcPr>
            <w:tcW w:w="4611" w:type="dxa"/>
          </w:tcPr>
          <w:p w14:paraId="23053F6C" w14:textId="6DA3C852" w:rsidR="00F447A0" w:rsidRDefault="00C378AA" w:rsidP="00B5209E">
            <w:pPr>
              <w:pStyle w:val="ListParagraph"/>
              <w:numPr>
                <w:ilvl w:val="0"/>
                <w:numId w:val="2"/>
              </w:numPr>
            </w:pPr>
            <w:r>
              <w:t xml:space="preserve">Lip twitch </w:t>
            </w:r>
          </w:p>
          <w:p w14:paraId="2F2E1EF7" w14:textId="68F7975E" w:rsidR="00C378AA" w:rsidRDefault="00C84ED9" w:rsidP="00B5209E">
            <w:pPr>
              <w:pStyle w:val="ListParagraph"/>
              <w:numPr>
                <w:ilvl w:val="0"/>
                <w:numId w:val="2"/>
              </w:numPr>
            </w:pPr>
            <w:r>
              <w:t xml:space="preserve">Lead shank </w:t>
            </w:r>
          </w:p>
        </w:tc>
      </w:tr>
      <w:tr w:rsidR="00F447A0" w14:paraId="10744DF8" w14:textId="77777777" w:rsidTr="001E11CA">
        <w:tc>
          <w:tcPr>
            <w:tcW w:w="4405" w:type="dxa"/>
            <w:vAlign w:val="center"/>
          </w:tcPr>
          <w:p w14:paraId="5802BC68" w14:textId="08CB643B" w:rsidR="00F447A0" w:rsidRDefault="002C1E83" w:rsidP="004931A6">
            <w:pPr>
              <w:jc w:val="center"/>
            </w:pPr>
            <w:r>
              <w:t>Materials</w:t>
            </w:r>
          </w:p>
        </w:tc>
        <w:tc>
          <w:tcPr>
            <w:tcW w:w="4611" w:type="dxa"/>
          </w:tcPr>
          <w:p w14:paraId="2F8EB400" w14:textId="0BAA00D2" w:rsidR="00F447A0" w:rsidRDefault="00FF3720" w:rsidP="00B5209E">
            <w:pPr>
              <w:pStyle w:val="ListParagraph"/>
              <w:numPr>
                <w:ilvl w:val="0"/>
                <w:numId w:val="2"/>
              </w:numPr>
            </w:pPr>
            <w:r>
              <w:t>1.5-inch</w:t>
            </w:r>
            <w:r w:rsidR="002E7366">
              <w:t xml:space="preserve">, </w:t>
            </w:r>
            <w:r w:rsidR="00B5209E">
              <w:t>20-gauge</w:t>
            </w:r>
            <w:r w:rsidR="002E7366">
              <w:t xml:space="preserve"> needle </w:t>
            </w:r>
          </w:p>
          <w:p w14:paraId="422F88C9" w14:textId="77777777" w:rsidR="00B5209E" w:rsidRDefault="00E602F1" w:rsidP="00B5209E">
            <w:pPr>
              <w:pStyle w:val="ListParagraph"/>
              <w:numPr>
                <w:ilvl w:val="0"/>
                <w:numId w:val="2"/>
              </w:numPr>
            </w:pPr>
            <w:r>
              <w:t xml:space="preserve">10ml syringe </w:t>
            </w:r>
          </w:p>
          <w:p w14:paraId="7C02BF5D" w14:textId="0D62D563" w:rsidR="00814E0F" w:rsidRDefault="00814E0F" w:rsidP="00B5209E">
            <w:pPr>
              <w:pStyle w:val="ListParagraph"/>
              <w:numPr>
                <w:ilvl w:val="0"/>
                <w:numId w:val="2"/>
              </w:numPr>
            </w:pPr>
            <w:r>
              <w:t xml:space="preserve">Local anaesthetic of choice </w:t>
            </w:r>
          </w:p>
        </w:tc>
      </w:tr>
      <w:tr w:rsidR="00F447A0" w14:paraId="6ED684F4" w14:textId="77777777" w:rsidTr="001E11CA">
        <w:tc>
          <w:tcPr>
            <w:tcW w:w="4405" w:type="dxa"/>
            <w:vAlign w:val="center"/>
          </w:tcPr>
          <w:p w14:paraId="58DFEE3F" w14:textId="7DD0E234" w:rsidR="00F447A0" w:rsidRDefault="00444840" w:rsidP="004931A6">
            <w:pPr>
              <w:jc w:val="center"/>
            </w:pPr>
            <w:r>
              <w:t>Procedure</w:t>
            </w:r>
          </w:p>
        </w:tc>
        <w:tc>
          <w:tcPr>
            <w:tcW w:w="4611" w:type="dxa"/>
          </w:tcPr>
          <w:p w14:paraId="1817805C" w14:textId="341ABB54" w:rsidR="004931A6" w:rsidRDefault="004931A6" w:rsidP="004931A6">
            <w:r w:rsidRPr="004931A6">
              <w:rPr>
                <w:b/>
                <w:bCs/>
              </w:rPr>
              <w:t>Dorsal Parallel</w:t>
            </w:r>
            <w:r>
              <w:t>:</w:t>
            </w:r>
          </w:p>
          <w:p w14:paraId="7EA7EC41" w14:textId="574BF589" w:rsidR="00F52100" w:rsidRDefault="0038744F" w:rsidP="0038744F">
            <w:pPr>
              <w:pStyle w:val="ListParagraph"/>
              <w:numPr>
                <w:ilvl w:val="0"/>
                <w:numId w:val="2"/>
              </w:numPr>
            </w:pPr>
            <w:r>
              <w:t xml:space="preserve">Easiest approach is </w:t>
            </w:r>
            <w:r w:rsidR="006D51BE">
              <w:t xml:space="preserve">accomplished using a dorsal parallel or inclined approach, </w:t>
            </w:r>
          </w:p>
          <w:p w14:paraId="33F77802" w14:textId="231AE8E8" w:rsidR="006D51BE" w:rsidRDefault="00F52100" w:rsidP="000D78B4">
            <w:pPr>
              <w:pStyle w:val="ListParagraph"/>
              <w:numPr>
                <w:ilvl w:val="0"/>
                <w:numId w:val="2"/>
              </w:numPr>
            </w:pPr>
            <w:r>
              <w:t>A</w:t>
            </w:r>
            <w:r w:rsidR="006D51BE">
              <w:t xml:space="preserve"> needle is placed into the dorsal pouch of the DIP joint on or near midline, just proximal to the coronary band</w:t>
            </w:r>
            <w:r w:rsidR="005E3CEB">
              <w:t xml:space="preserve">. </w:t>
            </w:r>
            <w:r w:rsidR="003F59E9">
              <w:t>(</w:t>
            </w:r>
            <w:r w:rsidR="005E3CEB">
              <w:t>Needle points into the limb or is parallel with the ground</w:t>
            </w:r>
            <w:r w:rsidR="003F59E9">
              <w:t>)</w:t>
            </w:r>
            <w:r w:rsidR="005E3CEB">
              <w:t xml:space="preserve">. </w:t>
            </w:r>
          </w:p>
          <w:p w14:paraId="62D34570" w14:textId="5469EB29" w:rsidR="004931A6" w:rsidRDefault="004931A6" w:rsidP="004931A6">
            <w:r w:rsidRPr="004931A6">
              <w:rPr>
                <w:b/>
                <w:bCs/>
              </w:rPr>
              <w:t xml:space="preserve">Dorsal </w:t>
            </w:r>
            <w:r w:rsidR="00DF7964">
              <w:rPr>
                <w:b/>
                <w:bCs/>
              </w:rPr>
              <w:t>P</w:t>
            </w:r>
            <w:r w:rsidRPr="004931A6">
              <w:rPr>
                <w:b/>
                <w:bCs/>
              </w:rPr>
              <w:t>erpendicular</w:t>
            </w:r>
            <w:r>
              <w:t>:</w:t>
            </w:r>
          </w:p>
          <w:p w14:paraId="4226CAEB" w14:textId="58867874" w:rsidR="003434E2" w:rsidRDefault="003434E2" w:rsidP="000D78B4">
            <w:pPr>
              <w:pStyle w:val="ListParagraph"/>
              <w:numPr>
                <w:ilvl w:val="0"/>
                <w:numId w:val="2"/>
              </w:numPr>
            </w:pPr>
            <w:r>
              <w:t xml:space="preserve">There is also the dorsal perpendicular approach where the needle is placed </w:t>
            </w:r>
            <w:r w:rsidR="00935A3B">
              <w:t xml:space="preserve">perpendicular to the </w:t>
            </w:r>
            <w:r w:rsidR="00DF7964">
              <w:t>bearing surface of the foot</w:t>
            </w:r>
            <w:r w:rsidR="008E3B17">
              <w:t>, near the midline</w:t>
            </w:r>
            <w:r w:rsidR="003F59E9">
              <w:t>, just proximal to the coronary band</w:t>
            </w:r>
            <w:r w:rsidR="00C53868">
              <w:t xml:space="preserve">. </w:t>
            </w:r>
            <w:r w:rsidR="003F59E9">
              <w:t>(</w:t>
            </w:r>
            <w:r w:rsidR="00C53868">
              <w:t>Needle faces downwards or towards the ground</w:t>
            </w:r>
            <w:r w:rsidR="003F59E9">
              <w:t>)</w:t>
            </w:r>
          </w:p>
          <w:p w14:paraId="505E7B62" w14:textId="77777777" w:rsidR="00B81A3D" w:rsidRDefault="00B81A3D" w:rsidP="00B81A3D">
            <w:r w:rsidRPr="00F35301">
              <w:rPr>
                <w:b/>
                <w:bCs/>
              </w:rPr>
              <w:t>Lateral Approach</w:t>
            </w:r>
            <w:r>
              <w:t>:</w:t>
            </w:r>
          </w:p>
          <w:p w14:paraId="1F8F68AB" w14:textId="77777777" w:rsidR="00B81A3D" w:rsidRDefault="002355D5" w:rsidP="00B81A3D">
            <w:pPr>
              <w:pStyle w:val="ListParagraph"/>
              <w:numPr>
                <w:ilvl w:val="0"/>
                <w:numId w:val="2"/>
              </w:numPr>
            </w:pPr>
            <w:r>
              <w:t xml:space="preserve">The needle is inserted </w:t>
            </w:r>
            <w:r w:rsidR="00166A07">
              <w:t xml:space="preserve">near the palpable, </w:t>
            </w:r>
            <w:r w:rsidR="00944093">
              <w:t xml:space="preserve">proximal edge of the </w:t>
            </w:r>
            <w:r w:rsidR="00833CD2">
              <w:t xml:space="preserve">lateral </w:t>
            </w:r>
            <w:r w:rsidR="00F35301">
              <w:t>cartilage of</w:t>
            </w:r>
            <w:r w:rsidR="00833CD2">
              <w:t xml:space="preserve"> the foot</w:t>
            </w:r>
            <w:r w:rsidR="00326B3A">
              <w:t>, the needle should be angled me</w:t>
            </w:r>
            <w:r w:rsidR="00F35301">
              <w:t xml:space="preserve">dially to the weight bearing surface of the foot. This can be done with the limb either flexed or extended. </w:t>
            </w:r>
          </w:p>
          <w:p w14:paraId="21C3C7D9" w14:textId="370D9810" w:rsidR="00B41EAF" w:rsidRDefault="00B41EAF" w:rsidP="00B41EAF">
            <w:pPr>
              <w:pStyle w:val="ListParagraph"/>
            </w:pPr>
          </w:p>
        </w:tc>
      </w:tr>
      <w:tr w:rsidR="00F447A0" w14:paraId="4D9F689A" w14:textId="77777777" w:rsidTr="001E11CA">
        <w:tc>
          <w:tcPr>
            <w:tcW w:w="4405" w:type="dxa"/>
            <w:vAlign w:val="center"/>
          </w:tcPr>
          <w:p w14:paraId="36B77C87" w14:textId="1AD1DDE5" w:rsidR="00F447A0" w:rsidRDefault="005B33C1" w:rsidP="004931A6">
            <w:pPr>
              <w:jc w:val="center"/>
            </w:pPr>
            <w:r>
              <w:t xml:space="preserve">Structures desensitised </w:t>
            </w:r>
          </w:p>
        </w:tc>
        <w:tc>
          <w:tcPr>
            <w:tcW w:w="4611" w:type="dxa"/>
          </w:tcPr>
          <w:p w14:paraId="7EDC4C1F" w14:textId="2558398C" w:rsidR="00FA0D2B" w:rsidRDefault="00FA0D2B" w:rsidP="00FA0D2B">
            <w:pPr>
              <w:pStyle w:val="ListParagraph"/>
              <w:numPr>
                <w:ilvl w:val="0"/>
                <w:numId w:val="2"/>
              </w:numPr>
            </w:pPr>
            <w:r>
              <w:t>Distal interphalangeal synovial membrane</w:t>
            </w:r>
          </w:p>
          <w:p w14:paraId="44A46B6D" w14:textId="383B0C80" w:rsidR="00E7328C" w:rsidRDefault="00E7328C" w:rsidP="00E7328C">
            <w:pPr>
              <w:pStyle w:val="ListParagraph"/>
              <w:numPr>
                <w:ilvl w:val="0"/>
                <w:numId w:val="2"/>
              </w:numPr>
            </w:pPr>
            <w:r>
              <w:t xml:space="preserve">Distal deep digital flexor tendon </w:t>
            </w:r>
          </w:p>
          <w:p w14:paraId="6E87FBA5" w14:textId="447334B2" w:rsidR="0044755B" w:rsidRDefault="00733C3F" w:rsidP="00FA0D2B">
            <w:pPr>
              <w:pStyle w:val="ListParagraph"/>
              <w:numPr>
                <w:ilvl w:val="0"/>
                <w:numId w:val="2"/>
              </w:numPr>
            </w:pPr>
            <w:r>
              <w:t>J</w:t>
            </w:r>
            <w:r w:rsidR="00FA0D2B">
              <w:t xml:space="preserve">oint capsule </w:t>
            </w:r>
          </w:p>
          <w:p w14:paraId="25995F1C" w14:textId="77777777" w:rsidR="0044755B" w:rsidRDefault="0044755B" w:rsidP="00FA0D2B">
            <w:pPr>
              <w:pStyle w:val="ListParagraph"/>
              <w:numPr>
                <w:ilvl w:val="0"/>
                <w:numId w:val="2"/>
              </w:numPr>
            </w:pPr>
            <w:r>
              <w:t xml:space="preserve">Surrounding </w:t>
            </w:r>
            <w:r w:rsidR="00FA0D2B">
              <w:t xml:space="preserve">soft tissues </w:t>
            </w:r>
          </w:p>
          <w:p w14:paraId="33F812E7" w14:textId="77777777" w:rsidR="0044755B" w:rsidRDefault="0044755B" w:rsidP="00FA0D2B">
            <w:pPr>
              <w:pStyle w:val="ListParagraph"/>
              <w:numPr>
                <w:ilvl w:val="0"/>
                <w:numId w:val="2"/>
              </w:numPr>
            </w:pPr>
            <w:r>
              <w:t>S</w:t>
            </w:r>
            <w:r w:rsidR="00FA0D2B">
              <w:t>ubchondral bone by diffusio</w:t>
            </w:r>
            <w:r>
              <w:t>n</w:t>
            </w:r>
          </w:p>
          <w:p w14:paraId="0F1282D1" w14:textId="77777777" w:rsidR="0044755B" w:rsidRDefault="0044755B" w:rsidP="00FA0D2B">
            <w:pPr>
              <w:pStyle w:val="ListParagraph"/>
              <w:numPr>
                <w:ilvl w:val="0"/>
                <w:numId w:val="2"/>
              </w:numPr>
            </w:pPr>
            <w:r>
              <w:t>N</w:t>
            </w:r>
            <w:r w:rsidR="00FA0D2B">
              <w:t>avicular apparatus</w:t>
            </w:r>
          </w:p>
          <w:p w14:paraId="100ED652" w14:textId="77777777" w:rsidR="0044755B" w:rsidRDefault="0044755B" w:rsidP="00FA0D2B">
            <w:pPr>
              <w:pStyle w:val="ListParagraph"/>
              <w:numPr>
                <w:ilvl w:val="0"/>
                <w:numId w:val="2"/>
              </w:numPr>
            </w:pPr>
            <w:r>
              <w:t>D</w:t>
            </w:r>
            <w:r w:rsidR="00FA0D2B">
              <w:t xml:space="preserve">orsal sole </w:t>
            </w:r>
          </w:p>
          <w:p w14:paraId="1C1D9C9B" w14:textId="77777777" w:rsidR="00F447A0" w:rsidRDefault="00FA0D2B" w:rsidP="0044755B">
            <w:r>
              <w:t>(</w:t>
            </w:r>
            <w:r w:rsidR="00733C3F">
              <w:t>If</w:t>
            </w:r>
            <w:r>
              <w:t xml:space="preserve"> </w:t>
            </w:r>
            <w:r w:rsidR="0044755B">
              <w:t xml:space="preserve">more than </w:t>
            </w:r>
            <w:r>
              <w:t xml:space="preserve">6ml of local anaesthetic agent </w:t>
            </w:r>
            <w:r w:rsidR="0044755B">
              <w:t>was administered the palmar sole)</w:t>
            </w:r>
          </w:p>
          <w:p w14:paraId="3831127F" w14:textId="33A6ABE7" w:rsidR="00B41EAF" w:rsidRDefault="00B41EAF" w:rsidP="0044755B"/>
        </w:tc>
      </w:tr>
      <w:tr w:rsidR="00F447A0" w14:paraId="09498E5D" w14:textId="77777777" w:rsidTr="001E11CA">
        <w:tc>
          <w:tcPr>
            <w:tcW w:w="4405" w:type="dxa"/>
            <w:vAlign w:val="center"/>
          </w:tcPr>
          <w:p w14:paraId="777CCD4F" w14:textId="4AB1CBAD" w:rsidR="00F447A0" w:rsidRDefault="005B33C1" w:rsidP="004931A6">
            <w:pPr>
              <w:jc w:val="center"/>
            </w:pPr>
            <w:r>
              <w:t xml:space="preserve">Considerations </w:t>
            </w:r>
          </w:p>
        </w:tc>
        <w:tc>
          <w:tcPr>
            <w:tcW w:w="4611" w:type="dxa"/>
          </w:tcPr>
          <w:p w14:paraId="34F9CF3A" w14:textId="77777777" w:rsidR="00F447A0" w:rsidRDefault="0036209C" w:rsidP="00733C3F">
            <w:pPr>
              <w:pStyle w:val="ListParagraph"/>
              <w:numPr>
                <w:ilvl w:val="0"/>
                <w:numId w:val="2"/>
              </w:numPr>
            </w:pPr>
            <w:r>
              <w:t>General depth of insertion should be 1 to 1.5 mm, but this would also depend on the size of the animal</w:t>
            </w:r>
          </w:p>
          <w:p w14:paraId="2080E0CA" w14:textId="35A2F5C6" w:rsidR="00B41EAF" w:rsidRDefault="0036209C" w:rsidP="00B41EAF">
            <w:pPr>
              <w:pStyle w:val="ListParagraph"/>
              <w:numPr>
                <w:ilvl w:val="0"/>
                <w:numId w:val="2"/>
              </w:numPr>
            </w:pPr>
            <w:r>
              <w:t xml:space="preserve">Synovial fluid can be seen in the hub of the needle if </w:t>
            </w:r>
            <w:r w:rsidR="00B41EAF">
              <w:t>is correctly placed</w:t>
            </w:r>
          </w:p>
          <w:p w14:paraId="47BB821F" w14:textId="16D460C1" w:rsidR="00F56DDB" w:rsidRDefault="00F56DDB" w:rsidP="00B41EAF">
            <w:pPr>
              <w:pStyle w:val="ListParagraph"/>
              <w:numPr>
                <w:ilvl w:val="0"/>
                <w:numId w:val="2"/>
              </w:numPr>
            </w:pPr>
            <w:r>
              <w:t>Volume to be administered: 4 – 6ml</w:t>
            </w:r>
          </w:p>
          <w:p w14:paraId="09DD4916" w14:textId="2EA8E5B3" w:rsidR="00B41EAF" w:rsidRDefault="00B41EAF" w:rsidP="00B41EAF">
            <w:pPr>
              <w:pStyle w:val="ListParagraph"/>
            </w:pPr>
          </w:p>
        </w:tc>
      </w:tr>
    </w:tbl>
    <w:p w14:paraId="0AC1776C" w14:textId="4C5B6E61" w:rsidR="005123FE" w:rsidRDefault="005123FE"/>
    <w:p w14:paraId="6AA66969" w14:textId="61D1EC25" w:rsidR="00E7328C" w:rsidRDefault="00E7328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362E0B" wp14:editId="16CADA7F">
                <wp:simplePos x="0" y="0"/>
                <wp:positionH relativeFrom="column">
                  <wp:posOffset>3556000</wp:posOffset>
                </wp:positionH>
                <wp:positionV relativeFrom="paragraph">
                  <wp:posOffset>5627370</wp:posOffset>
                </wp:positionV>
                <wp:extent cx="2360930" cy="1404620"/>
                <wp:effectExtent l="0" t="0" r="12700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D8437" w14:textId="29546483" w:rsidR="00E7328C" w:rsidRDefault="00E7328C" w:rsidP="00E7328C">
                            <w:pPr>
                              <w:jc w:val="center"/>
                            </w:pPr>
                            <w:r>
                              <w:t xml:space="preserve">Dorsal Lateral </w:t>
                            </w:r>
                            <w:r w:rsidR="004575CE">
                              <w:t xml:space="preserve">approach to the Distal Interphalangeal Joint block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362E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pt;margin-top:443.1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" fillcolor="#bdd6ee [1304]" strokecolor="black [3213]">
                <v:textbox style="mso-fit-shape-to-text:t">
                  <w:txbxContent>
                    <w:p w14:paraId="0C8D8437" w14:textId="29546483" w:rsidR="00E7328C" w:rsidRDefault="00E7328C" w:rsidP="00E7328C">
                      <w:pPr>
                        <w:jc w:val="center"/>
                      </w:pPr>
                      <w:r>
                        <w:t xml:space="preserve">Dorsal Lateral </w:t>
                      </w:r>
                      <w:r w:rsidR="004575CE">
                        <w:t xml:space="preserve">approach to the Distal Interphalangeal Joint block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CF8260" wp14:editId="309F03CE">
                <wp:simplePos x="0" y="0"/>
                <wp:positionH relativeFrom="column">
                  <wp:posOffset>3415030</wp:posOffset>
                </wp:positionH>
                <wp:positionV relativeFrom="paragraph">
                  <wp:posOffset>767080</wp:posOffset>
                </wp:positionV>
                <wp:extent cx="2360930" cy="1404620"/>
                <wp:effectExtent l="0" t="0" r="127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B22CC" w14:textId="1A91D191" w:rsidR="00E7328C" w:rsidRDefault="00E7328C" w:rsidP="00E7328C">
                            <w:pPr>
                              <w:jc w:val="center"/>
                            </w:pPr>
                            <w:r>
                              <w:t xml:space="preserve">Dorsal Parallel </w:t>
                            </w:r>
                            <w:r w:rsidR="004575CE">
                              <w:t xml:space="preserve">approach to the Distal Interphalangeal Joint block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CF8260" id="_x0000_s1027" type="#_x0000_t202" style="position:absolute;margin-left:268.9pt;margin-top:60.4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" fillcolor="#bdd6ee [1304]" strokecolor="black [3213]">
                <v:textbox style="mso-fit-shape-to-text:t">
                  <w:txbxContent>
                    <w:p w14:paraId="026B22CC" w14:textId="1A91D191" w:rsidR="00E7328C" w:rsidRDefault="00E7328C" w:rsidP="00E7328C">
                      <w:pPr>
                        <w:jc w:val="center"/>
                      </w:pPr>
                      <w:r>
                        <w:t xml:space="preserve">Dorsal Parallel </w:t>
                      </w:r>
                      <w:r w:rsidR="004575CE">
                        <w:t xml:space="preserve">approach to the Distal Interphalangeal Joint block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86BE949" wp14:editId="009B8B73">
            <wp:simplePos x="0" y="0"/>
            <wp:positionH relativeFrom="column">
              <wp:posOffset>44450</wp:posOffset>
            </wp:positionH>
            <wp:positionV relativeFrom="paragraph">
              <wp:posOffset>4470400</wp:posOffset>
            </wp:positionV>
            <wp:extent cx="3004185" cy="3139440"/>
            <wp:effectExtent l="19050" t="19050" r="24765" b="22860"/>
            <wp:wrapNone/>
            <wp:docPr id="2" name="Picture 2" descr="A picture containing invertebrate, mollus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nvertebrate, mollusk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19" r="9000" b="13248"/>
                    <a:stretch/>
                  </pic:blipFill>
                  <pic:spPr bwMode="auto">
                    <a:xfrm>
                      <a:off x="0" y="0"/>
                      <a:ext cx="3004185" cy="31394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1717A77" wp14:editId="661EC10C">
            <wp:extent cx="3004443" cy="3473450"/>
            <wp:effectExtent l="19050" t="19050" r="24765" b="12700"/>
            <wp:docPr id="1" name="Picture 1" descr="A picture containing ground, mollusk, vegetable, dir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ound, mollusk, vegetable, dirty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95"/>
                    <a:stretch/>
                  </pic:blipFill>
                  <pic:spPr bwMode="auto">
                    <a:xfrm>
                      <a:off x="0" y="0"/>
                      <a:ext cx="3011856" cy="34820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7328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E7C77"/>
    <w:multiLevelType w:val="hybridMultilevel"/>
    <w:tmpl w:val="70B431CE"/>
    <w:lvl w:ilvl="0" w:tplc="3DEAA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446EF"/>
    <w:multiLevelType w:val="hybridMultilevel"/>
    <w:tmpl w:val="FC586D36"/>
    <w:lvl w:ilvl="0" w:tplc="3DEAA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98"/>
    <w:rsid w:val="000D78B4"/>
    <w:rsid w:val="00166A07"/>
    <w:rsid w:val="001B201F"/>
    <w:rsid w:val="001E11CA"/>
    <w:rsid w:val="002355D5"/>
    <w:rsid w:val="00243598"/>
    <w:rsid w:val="002C1E83"/>
    <w:rsid w:val="002E7366"/>
    <w:rsid w:val="00325E84"/>
    <w:rsid w:val="00326B3A"/>
    <w:rsid w:val="003434E2"/>
    <w:rsid w:val="0036209C"/>
    <w:rsid w:val="0038744F"/>
    <w:rsid w:val="003D4C65"/>
    <w:rsid w:val="003F59E9"/>
    <w:rsid w:val="0041579F"/>
    <w:rsid w:val="00444840"/>
    <w:rsid w:val="0044755B"/>
    <w:rsid w:val="004575CE"/>
    <w:rsid w:val="004931A6"/>
    <w:rsid w:val="005123FE"/>
    <w:rsid w:val="005B33C1"/>
    <w:rsid w:val="005E3CEB"/>
    <w:rsid w:val="006D51BE"/>
    <w:rsid w:val="007152F9"/>
    <w:rsid w:val="00733C3F"/>
    <w:rsid w:val="00814E0F"/>
    <w:rsid w:val="00833CD2"/>
    <w:rsid w:val="008E3B17"/>
    <w:rsid w:val="00935A3B"/>
    <w:rsid w:val="00944093"/>
    <w:rsid w:val="00B41EAF"/>
    <w:rsid w:val="00B5209E"/>
    <w:rsid w:val="00B81A3D"/>
    <w:rsid w:val="00B94F6D"/>
    <w:rsid w:val="00BB4731"/>
    <w:rsid w:val="00BE4787"/>
    <w:rsid w:val="00C378AA"/>
    <w:rsid w:val="00C53868"/>
    <w:rsid w:val="00C84ED9"/>
    <w:rsid w:val="00DF7964"/>
    <w:rsid w:val="00E602F1"/>
    <w:rsid w:val="00E7328C"/>
    <w:rsid w:val="00EE77D3"/>
    <w:rsid w:val="00F0451A"/>
    <w:rsid w:val="00F35301"/>
    <w:rsid w:val="00F447A0"/>
    <w:rsid w:val="00F52100"/>
    <w:rsid w:val="00F56DDB"/>
    <w:rsid w:val="00FA0D2B"/>
    <w:rsid w:val="00F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6BCBC"/>
  <w15:chartTrackingRefBased/>
  <w15:docId w15:val="{9FF9ACA2-325A-45DA-82CD-47E568AA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4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2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FCF25D4FC24DBE02FB8F26C580C7" ma:contentTypeVersion="11" ma:contentTypeDescription="Create a new document." ma:contentTypeScope="" ma:versionID="07172c0b298e18703dc66151def1555e">
  <xsd:schema xmlns:xsd="http://www.w3.org/2001/XMLSchema" xmlns:xs="http://www.w3.org/2001/XMLSchema" xmlns:p="http://schemas.microsoft.com/office/2006/metadata/properties" xmlns:ns3="7254d0f3-0c7d-4007-aff1-4dc075c7d2e8" xmlns:ns4="d5b07106-ebed-486d-ab07-d8fd9488db40" targetNamespace="http://schemas.microsoft.com/office/2006/metadata/properties" ma:root="true" ma:fieldsID="e4bd7d5a736457bbce3c40079f4d3ec7" ns3:_="" ns4:_="">
    <xsd:import namespace="7254d0f3-0c7d-4007-aff1-4dc075c7d2e8"/>
    <xsd:import namespace="d5b07106-ebed-486d-ab07-d8fd9488db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4d0f3-0c7d-4007-aff1-4dc075c7d2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07106-ebed-486d-ab07-d8fd9488d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6042B-688D-43C3-9D3B-7C02C78D9C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7F1A3B-9DC6-4150-8906-B83997F8D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3A1F1-6D69-40E2-9B1D-674A9415F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4d0f3-0c7d-4007-aff1-4dc075c7d2e8"/>
    <ds:schemaRef ds:uri="d5b07106-ebed-486d-ab07-d8fd9488d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Rohini C Dabie</dc:creator>
  <cp:keywords/>
  <dc:description/>
  <cp:lastModifiedBy>Rohini C Dabie</cp:lastModifiedBy>
  <cp:revision>8</cp:revision>
  <dcterms:created xsi:type="dcterms:W3CDTF">2021-10-10T16:41:00Z</dcterms:created>
  <dcterms:modified xsi:type="dcterms:W3CDTF">2021-10-18T01:12:00Z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0x0101006BA6FCF25D4FC24DBE02FB8F26C580C7</vt:lpwstr>
  </property>
</Properties>
</file>