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5"/>
        <w:gridCol w:w="6835"/>
      </w:tblGrid>
      <w:tr w:rsidR="009D2B03" w:rsidTr="009D2B03">
        <w:tc>
          <w:tcPr>
            <w:tcW w:w="9350" w:type="dxa"/>
            <w:gridSpan w:val="2"/>
            <w:shd w:val="clear" w:color="auto" w:fill="8EAADB" w:themeFill="accent5" w:themeFillTint="99"/>
          </w:tcPr>
          <w:p w:rsidR="009D2B03" w:rsidRPr="009D2B03" w:rsidRDefault="009D2B03" w:rsidP="009D2B03">
            <w:pPr>
              <w:spacing w:line="360" w:lineRule="auto"/>
              <w:jc w:val="center"/>
              <w:rPr>
                <w:b/>
              </w:rPr>
            </w:pPr>
            <w:r w:rsidRPr="009D2B03">
              <w:rPr>
                <w:b/>
              </w:rPr>
              <w:t>Peterson Nerve Block</w:t>
            </w:r>
          </w:p>
        </w:tc>
      </w:tr>
      <w:tr w:rsidR="009D2B03" w:rsidTr="00CA1384">
        <w:tc>
          <w:tcPr>
            <w:tcW w:w="2515" w:type="dxa"/>
          </w:tcPr>
          <w:p w:rsidR="009D2B03" w:rsidRPr="00CA1384" w:rsidRDefault="00CA1384" w:rsidP="009D2B03">
            <w:pPr>
              <w:spacing w:line="360" w:lineRule="auto"/>
              <w:rPr>
                <w:b/>
              </w:rPr>
            </w:pPr>
            <w:r w:rsidRPr="00CA1384">
              <w:rPr>
                <w:b/>
              </w:rPr>
              <w:t xml:space="preserve">Uses </w:t>
            </w:r>
          </w:p>
        </w:tc>
        <w:tc>
          <w:tcPr>
            <w:tcW w:w="6835" w:type="dxa"/>
          </w:tcPr>
          <w:p w:rsidR="00CA1384" w:rsidRDefault="00CA1384" w:rsidP="0047223F">
            <w:pPr>
              <w:pStyle w:val="ListParagraph"/>
              <w:numPr>
                <w:ilvl w:val="0"/>
                <w:numId w:val="6"/>
              </w:numPr>
              <w:spacing w:line="360" w:lineRule="auto"/>
            </w:pPr>
            <w:r>
              <w:t>This block involves local anesthesia of the cranial nerves supplying sensory and motor function to the eye and some of its surrounding structures.</w:t>
            </w:r>
          </w:p>
          <w:p w:rsidR="00CA1384" w:rsidRDefault="00CA1384" w:rsidP="0047223F">
            <w:pPr>
              <w:pStyle w:val="ListParagraph"/>
              <w:numPr>
                <w:ilvl w:val="0"/>
                <w:numId w:val="6"/>
              </w:numPr>
              <w:spacing w:line="360" w:lineRule="auto"/>
            </w:pPr>
            <w:r>
              <w:t>This block produces anesthesia of the eye and orbit, with immobilization of the globe and produces almost complete anesthesia of the lateral aspect of the head except for the eyelids.</w:t>
            </w:r>
            <w:bookmarkStart w:id="0" w:name="_GoBack"/>
            <w:bookmarkEnd w:id="0"/>
          </w:p>
          <w:p w:rsidR="009D2B03" w:rsidRDefault="00CA1384" w:rsidP="0047223F">
            <w:pPr>
              <w:pStyle w:val="ListParagraph"/>
              <w:numPr>
                <w:ilvl w:val="0"/>
                <w:numId w:val="6"/>
              </w:numPr>
              <w:spacing w:line="360" w:lineRule="auto"/>
            </w:pPr>
            <w:r>
              <w:t>The Peterson block is usually combined with the auriculopalpebral block to provide complete paralysis of the eyelids to facilitate surgery.</w:t>
            </w:r>
          </w:p>
        </w:tc>
      </w:tr>
      <w:tr w:rsidR="009D2B03" w:rsidTr="00CA1384">
        <w:tc>
          <w:tcPr>
            <w:tcW w:w="2515" w:type="dxa"/>
          </w:tcPr>
          <w:p w:rsidR="009D2B03" w:rsidRPr="00CA1384" w:rsidRDefault="00CA1384" w:rsidP="009D2B03">
            <w:pPr>
              <w:spacing w:line="360" w:lineRule="auto"/>
              <w:rPr>
                <w:b/>
              </w:rPr>
            </w:pPr>
            <w:r w:rsidRPr="00CA1384">
              <w:rPr>
                <w:b/>
              </w:rPr>
              <w:t xml:space="preserve">Restraint </w:t>
            </w:r>
          </w:p>
        </w:tc>
        <w:tc>
          <w:tcPr>
            <w:tcW w:w="6835" w:type="dxa"/>
          </w:tcPr>
          <w:p w:rsidR="00CA1384" w:rsidRDefault="00CA1384" w:rsidP="00CA1384">
            <w:pPr>
              <w:spacing w:line="360" w:lineRule="auto"/>
            </w:pPr>
            <w:r>
              <w:t xml:space="preserve">Manual restraint with a halter and the animal </w:t>
            </w:r>
            <w:r w:rsidR="00DB4C87">
              <w:t xml:space="preserve">in a crush </w:t>
            </w:r>
          </w:p>
          <w:p w:rsidR="009D2B03" w:rsidRDefault="00CA1384" w:rsidP="00CA1384">
            <w:pPr>
              <w:spacing w:line="360" w:lineRule="auto"/>
            </w:pPr>
            <w:r>
              <w:t>Chemical restraint may be necessary in fractious animals.</w:t>
            </w:r>
          </w:p>
        </w:tc>
      </w:tr>
      <w:tr w:rsidR="009D2B03" w:rsidTr="00CA1384">
        <w:tc>
          <w:tcPr>
            <w:tcW w:w="2515" w:type="dxa"/>
          </w:tcPr>
          <w:p w:rsidR="009D2B03" w:rsidRPr="00CA1384" w:rsidRDefault="00CA1384" w:rsidP="009D2B03">
            <w:pPr>
              <w:spacing w:line="360" w:lineRule="auto"/>
              <w:rPr>
                <w:b/>
              </w:rPr>
            </w:pPr>
            <w:r w:rsidRPr="00CA1384">
              <w:rPr>
                <w:b/>
              </w:rPr>
              <w:t xml:space="preserve">Materials Required </w:t>
            </w:r>
          </w:p>
        </w:tc>
        <w:tc>
          <w:tcPr>
            <w:tcW w:w="6835" w:type="dxa"/>
          </w:tcPr>
          <w:p w:rsidR="00CA1384" w:rsidRDefault="00CA1384" w:rsidP="00CA1384">
            <w:pPr>
              <w:spacing w:line="360" w:lineRule="auto"/>
            </w:pPr>
            <w:r>
              <w:t xml:space="preserve">23-gauge, </w:t>
            </w:r>
            <w:proofErr w:type="gramStart"/>
            <w:r>
              <w:t>1 inch</w:t>
            </w:r>
            <w:proofErr w:type="gramEnd"/>
            <w:r>
              <w:t xml:space="preserve"> needle.</w:t>
            </w:r>
          </w:p>
          <w:p w:rsidR="00CA1384" w:rsidRDefault="00CA1384" w:rsidP="00CA1384">
            <w:pPr>
              <w:spacing w:line="360" w:lineRule="auto"/>
            </w:pPr>
            <w:r>
              <w:t xml:space="preserve">18-gauge, </w:t>
            </w:r>
            <w:proofErr w:type="gramStart"/>
            <w:r>
              <w:t>6 inch</w:t>
            </w:r>
            <w:proofErr w:type="gramEnd"/>
            <w:r>
              <w:t xml:space="preserve"> needle.</w:t>
            </w:r>
          </w:p>
          <w:p w:rsidR="009D2B03" w:rsidRDefault="00CA1384" w:rsidP="00C2239E">
            <w:pPr>
              <w:spacing w:line="360" w:lineRule="auto"/>
            </w:pPr>
            <w:r>
              <w:t xml:space="preserve">15 – 20mls of local anesthetic </w:t>
            </w:r>
          </w:p>
        </w:tc>
      </w:tr>
      <w:tr w:rsidR="00CA1384" w:rsidTr="00CA1384">
        <w:tc>
          <w:tcPr>
            <w:tcW w:w="2515" w:type="dxa"/>
          </w:tcPr>
          <w:p w:rsidR="00CA1384" w:rsidRPr="00CA1384" w:rsidRDefault="00CA1384" w:rsidP="009D2B03">
            <w:pPr>
              <w:spacing w:line="360" w:lineRule="auto"/>
              <w:rPr>
                <w:b/>
              </w:rPr>
            </w:pPr>
            <w:r>
              <w:rPr>
                <w:b/>
              </w:rPr>
              <w:t xml:space="preserve">Site Preparation </w:t>
            </w:r>
          </w:p>
        </w:tc>
        <w:tc>
          <w:tcPr>
            <w:tcW w:w="6835" w:type="dxa"/>
          </w:tcPr>
          <w:p w:rsidR="00C2239E" w:rsidRDefault="00C2239E" w:rsidP="00C2239E">
            <w:pPr>
              <w:spacing w:line="360" w:lineRule="auto"/>
            </w:pPr>
            <w:r>
              <w:t>Site of injection is only clipped in thick haired or dirty animals.</w:t>
            </w:r>
          </w:p>
          <w:p w:rsidR="00CA1384" w:rsidRDefault="00C2239E" w:rsidP="00C2239E">
            <w:pPr>
              <w:spacing w:line="360" w:lineRule="auto"/>
            </w:pPr>
            <w:r>
              <w:t>The site should be cleaned and disinfected appropriately.</w:t>
            </w:r>
          </w:p>
        </w:tc>
      </w:tr>
      <w:tr w:rsidR="00CA1384" w:rsidTr="00CA1384">
        <w:tc>
          <w:tcPr>
            <w:tcW w:w="2515" w:type="dxa"/>
          </w:tcPr>
          <w:p w:rsidR="00CA1384" w:rsidRPr="00CA1384" w:rsidRDefault="00CA1384" w:rsidP="009D2B03">
            <w:pPr>
              <w:spacing w:line="360" w:lineRule="auto"/>
              <w:rPr>
                <w:b/>
              </w:rPr>
            </w:pPr>
            <w:r w:rsidRPr="00CA1384">
              <w:rPr>
                <w:b/>
              </w:rPr>
              <w:t xml:space="preserve">Procedure </w:t>
            </w:r>
          </w:p>
        </w:tc>
        <w:tc>
          <w:tcPr>
            <w:tcW w:w="6835" w:type="dxa"/>
          </w:tcPr>
          <w:p w:rsidR="00C2239E" w:rsidRDefault="00C2239E" w:rsidP="00C2239E">
            <w:pPr>
              <w:spacing w:line="360" w:lineRule="auto"/>
            </w:pPr>
            <w:r>
              <w:t>Landmarks: Locate</w:t>
            </w:r>
            <w:r>
              <w:t xml:space="preserve"> the notch formed by the caudal bony orbital rim, cranially, the zygomatic arch, ventrally and the coronoid process of the mandible, </w:t>
            </w:r>
            <w:proofErr w:type="gramStart"/>
            <w:r>
              <w:t>caudally .</w:t>
            </w:r>
            <w:proofErr w:type="gramEnd"/>
          </w:p>
          <w:p w:rsidR="00826565" w:rsidRDefault="00826565" w:rsidP="00C2239E">
            <w:pPr>
              <w:spacing w:line="360" w:lineRule="auto"/>
            </w:pPr>
          </w:p>
          <w:p w:rsidR="00826565" w:rsidRDefault="00C2239E" w:rsidP="00826565">
            <w:pPr>
              <w:pStyle w:val="ListParagraph"/>
              <w:numPr>
                <w:ilvl w:val="0"/>
                <w:numId w:val="5"/>
              </w:numPr>
              <w:spacing w:line="360" w:lineRule="auto"/>
            </w:pPr>
            <w:r>
              <w:t xml:space="preserve">Inject 5 </w:t>
            </w:r>
            <w:proofErr w:type="spellStart"/>
            <w:r>
              <w:t>mls</w:t>
            </w:r>
            <w:proofErr w:type="spellEnd"/>
            <w:r>
              <w:t xml:space="preserve"> of local anesthetic subcutaneously at the located notch us</w:t>
            </w:r>
            <w:r w:rsidR="00826565">
              <w:t>ing a 23-gauge needle to desensitize the skin.</w:t>
            </w:r>
          </w:p>
          <w:p w:rsidR="00826565" w:rsidRDefault="00826565" w:rsidP="00C2239E">
            <w:pPr>
              <w:pStyle w:val="ListParagraph"/>
              <w:numPr>
                <w:ilvl w:val="0"/>
                <w:numId w:val="5"/>
              </w:numPr>
              <w:spacing w:line="360" w:lineRule="auto"/>
            </w:pPr>
            <w:r>
              <w:t xml:space="preserve">Place an 18 gauge, </w:t>
            </w:r>
            <w:proofErr w:type="gramStart"/>
            <w:r>
              <w:t>6 inch</w:t>
            </w:r>
            <w:proofErr w:type="gramEnd"/>
            <w:r>
              <w:t xml:space="preserve"> needle</w:t>
            </w:r>
            <w:r w:rsidR="00C2239E">
              <w:t xml:space="preserve"> t</w:t>
            </w:r>
            <w:r>
              <w:t xml:space="preserve">hrough the desensitized skin caudally </w:t>
            </w:r>
            <w:r w:rsidR="00C2239E">
              <w:t>w</w:t>
            </w:r>
            <w:r>
              <w:t xml:space="preserve">ithin the notch </w:t>
            </w:r>
            <w:r w:rsidR="00C2239E">
              <w:t>to strike the coronoid process of the mandible.</w:t>
            </w:r>
          </w:p>
          <w:p w:rsidR="00826565" w:rsidRDefault="00C2239E" w:rsidP="00C2239E">
            <w:pPr>
              <w:pStyle w:val="ListParagraph"/>
              <w:numPr>
                <w:ilvl w:val="0"/>
                <w:numId w:val="5"/>
              </w:numPr>
              <w:spacing w:line="360" w:lineRule="auto"/>
            </w:pPr>
            <w:r>
              <w:t xml:space="preserve">Once this is encountered, the animal’s head is fully extended with the nasal and frontal bones parallel to the ground and the needle is gently manipulated off the front of the coronoid process and </w:t>
            </w:r>
            <w:r>
              <w:lastRenderedPageBreak/>
              <w:t>advanced towards the pterygopalatine fossa.</w:t>
            </w:r>
            <w:r w:rsidR="00826565">
              <w:t xml:space="preserve"> </w:t>
            </w:r>
            <w:r>
              <w:t>To facilitate placement, the needle can be bent slightly if preferred.</w:t>
            </w:r>
          </w:p>
          <w:p w:rsidR="00826565" w:rsidRDefault="00C2239E" w:rsidP="00C2239E">
            <w:pPr>
              <w:pStyle w:val="ListParagraph"/>
              <w:numPr>
                <w:ilvl w:val="0"/>
                <w:numId w:val="5"/>
              </w:numPr>
              <w:spacing w:line="360" w:lineRule="auto"/>
            </w:pPr>
            <w:r>
              <w:t xml:space="preserve">15 – 20 </w:t>
            </w:r>
            <w:proofErr w:type="spellStart"/>
            <w:r>
              <w:t>mls</w:t>
            </w:r>
            <w:proofErr w:type="spellEnd"/>
            <w:r>
              <w:t xml:space="preserve"> of local anesthetic is injected in the regio</w:t>
            </w:r>
            <w:r>
              <w:t xml:space="preserve">n of the </w:t>
            </w:r>
            <w:proofErr w:type="spellStart"/>
            <w:r>
              <w:t>orbitorotundum</w:t>
            </w:r>
            <w:proofErr w:type="spellEnd"/>
            <w:r>
              <w:t xml:space="preserve"> foramen</w:t>
            </w:r>
          </w:p>
          <w:p w:rsidR="00C2239E" w:rsidRDefault="00C2239E" w:rsidP="00C2239E">
            <w:pPr>
              <w:pStyle w:val="ListParagraph"/>
              <w:numPr>
                <w:ilvl w:val="0"/>
                <w:numId w:val="5"/>
              </w:numPr>
              <w:spacing w:line="360" w:lineRule="auto"/>
            </w:pPr>
            <w:r>
              <w:t>Careful aspiration must be performed during the injection as the site is close to the maxillary artery.</w:t>
            </w:r>
          </w:p>
          <w:p w:rsidR="00C2239E" w:rsidRDefault="00C2239E" w:rsidP="00C2239E">
            <w:pPr>
              <w:spacing w:line="360" w:lineRule="auto"/>
            </w:pPr>
          </w:p>
          <w:p w:rsidR="00C2239E" w:rsidRDefault="00C2239E" w:rsidP="00C2239E">
            <w:pPr>
              <w:spacing w:line="360" w:lineRule="auto"/>
            </w:pPr>
            <w:r>
              <w:t>Signs of anesthesia</w:t>
            </w:r>
            <w:r>
              <w:t>:</w:t>
            </w:r>
          </w:p>
          <w:p w:rsidR="00C2239E" w:rsidRDefault="00C2239E" w:rsidP="00C2239E">
            <w:pPr>
              <w:pStyle w:val="ListParagraph"/>
              <w:numPr>
                <w:ilvl w:val="0"/>
                <w:numId w:val="4"/>
              </w:numPr>
              <w:spacing w:line="360" w:lineRule="auto"/>
            </w:pPr>
            <w:r>
              <w:t>Reduced blinking.</w:t>
            </w:r>
          </w:p>
          <w:p w:rsidR="00C2239E" w:rsidRDefault="00C2239E" w:rsidP="00C2239E">
            <w:pPr>
              <w:pStyle w:val="ListParagraph"/>
              <w:numPr>
                <w:ilvl w:val="0"/>
                <w:numId w:val="4"/>
              </w:numPr>
              <w:spacing w:line="360" w:lineRule="auto"/>
            </w:pPr>
            <w:r>
              <w:t>Relaxation and protrusion of the globe.</w:t>
            </w:r>
          </w:p>
          <w:p w:rsidR="00C2239E" w:rsidRDefault="00C2239E" w:rsidP="00C2239E">
            <w:pPr>
              <w:pStyle w:val="ListParagraph"/>
              <w:numPr>
                <w:ilvl w:val="0"/>
                <w:numId w:val="4"/>
              </w:numPr>
              <w:spacing w:line="360" w:lineRule="auto"/>
            </w:pPr>
            <w:r>
              <w:t>Desensitization of the face on the ipsilateral side of the block.</w:t>
            </w:r>
          </w:p>
          <w:p w:rsidR="00C2239E" w:rsidRDefault="00C2239E" w:rsidP="00C2239E">
            <w:pPr>
              <w:spacing w:line="360" w:lineRule="auto"/>
            </w:pPr>
          </w:p>
          <w:p w:rsidR="00CA1384" w:rsidRDefault="00C2239E" w:rsidP="00C2239E">
            <w:pPr>
              <w:spacing w:line="360" w:lineRule="auto"/>
            </w:pPr>
            <w:r>
              <w:t xml:space="preserve">Duration of anesthesia: </w:t>
            </w:r>
            <w:r>
              <w:t xml:space="preserve">Lidocaine  90 – 200 </w:t>
            </w:r>
            <w:proofErr w:type="spellStart"/>
            <w:r>
              <w:t>mins</w:t>
            </w:r>
            <w:proofErr w:type="spellEnd"/>
            <w:r>
              <w:t>.</w:t>
            </w:r>
          </w:p>
        </w:tc>
      </w:tr>
      <w:tr w:rsidR="00CA1384" w:rsidTr="00CA1384">
        <w:tc>
          <w:tcPr>
            <w:tcW w:w="2515" w:type="dxa"/>
          </w:tcPr>
          <w:p w:rsidR="00CA1384" w:rsidRPr="00CA1384" w:rsidRDefault="00CA1384" w:rsidP="009D2B03">
            <w:pPr>
              <w:spacing w:line="360" w:lineRule="auto"/>
              <w:rPr>
                <w:b/>
              </w:rPr>
            </w:pPr>
            <w:r w:rsidRPr="00CA1384">
              <w:rPr>
                <w:b/>
              </w:rPr>
              <w:lastRenderedPageBreak/>
              <w:t xml:space="preserve">Advantages </w:t>
            </w:r>
          </w:p>
        </w:tc>
        <w:tc>
          <w:tcPr>
            <w:tcW w:w="6835" w:type="dxa"/>
          </w:tcPr>
          <w:p w:rsidR="00CA1384" w:rsidRDefault="00CA1384" w:rsidP="00FD5C9F">
            <w:pPr>
              <w:pStyle w:val="ListParagraph"/>
              <w:numPr>
                <w:ilvl w:val="0"/>
                <w:numId w:val="2"/>
              </w:numPr>
              <w:spacing w:line="360" w:lineRule="auto"/>
            </w:pPr>
            <w:r>
              <w:t>Safer than th</w:t>
            </w:r>
            <w:r w:rsidR="00FD5C9F">
              <w:t xml:space="preserve">e </w:t>
            </w:r>
            <w:proofErr w:type="spellStart"/>
            <w:r w:rsidR="00FD5C9F">
              <w:t>Retrobulbar</w:t>
            </w:r>
            <w:proofErr w:type="spellEnd"/>
            <w:r w:rsidR="00FD5C9F">
              <w:t xml:space="preserve"> block </w:t>
            </w:r>
            <w:r>
              <w:t>as there is less risk of globe penetration and hemorrhage.</w:t>
            </w:r>
          </w:p>
          <w:p w:rsidR="00CA1384" w:rsidRDefault="00CA1384" w:rsidP="00FD5C9F">
            <w:pPr>
              <w:pStyle w:val="ListParagraph"/>
              <w:numPr>
                <w:ilvl w:val="0"/>
                <w:numId w:val="2"/>
              </w:numPr>
              <w:spacing w:line="360" w:lineRule="auto"/>
            </w:pPr>
            <w:r>
              <w:t>Additionally, potential catastrophic injection of the meninges surrounding the optic nerve is minimized using this technique.</w:t>
            </w:r>
          </w:p>
          <w:p w:rsidR="00CA1384" w:rsidRDefault="00CA1384" w:rsidP="00FD5C9F">
            <w:pPr>
              <w:pStyle w:val="ListParagraph"/>
              <w:numPr>
                <w:ilvl w:val="0"/>
                <w:numId w:val="2"/>
              </w:numPr>
              <w:spacing w:line="360" w:lineRule="auto"/>
            </w:pPr>
            <w:r>
              <w:t>More effective than alternative techniques if performed correctly.</w:t>
            </w:r>
          </w:p>
          <w:p w:rsidR="00CA1384" w:rsidRDefault="00CA1384" w:rsidP="00FD5C9F">
            <w:pPr>
              <w:pStyle w:val="ListParagraph"/>
              <w:numPr>
                <w:ilvl w:val="0"/>
                <w:numId w:val="2"/>
              </w:numPr>
              <w:spacing w:line="360" w:lineRule="auto"/>
            </w:pPr>
            <w:r>
              <w:t>Less edema and inflammation with this block than with infiltration of local anesthetics into the eyelids and orbit.</w:t>
            </w:r>
          </w:p>
        </w:tc>
      </w:tr>
      <w:tr w:rsidR="00CA1384" w:rsidTr="00CA1384">
        <w:tc>
          <w:tcPr>
            <w:tcW w:w="2515" w:type="dxa"/>
          </w:tcPr>
          <w:p w:rsidR="00CA1384" w:rsidRPr="00CA1384" w:rsidRDefault="00CA1384" w:rsidP="009D2B03">
            <w:pPr>
              <w:spacing w:line="360" w:lineRule="auto"/>
              <w:rPr>
                <w:b/>
              </w:rPr>
            </w:pPr>
            <w:r w:rsidRPr="00CA1384">
              <w:rPr>
                <w:b/>
              </w:rPr>
              <w:t xml:space="preserve">Disadvantages </w:t>
            </w:r>
          </w:p>
        </w:tc>
        <w:tc>
          <w:tcPr>
            <w:tcW w:w="6835" w:type="dxa"/>
          </w:tcPr>
          <w:p w:rsidR="00CA1384" w:rsidRDefault="00CA1384" w:rsidP="009D2B03">
            <w:pPr>
              <w:spacing w:line="360" w:lineRule="auto"/>
            </w:pPr>
            <w:r w:rsidRPr="00CA1384">
              <w:t>Technically more challenging to perform than other blocks anesthetizing the same or similar area.</w:t>
            </w:r>
          </w:p>
        </w:tc>
      </w:tr>
      <w:tr w:rsidR="00CA1384" w:rsidTr="00CA1384">
        <w:tc>
          <w:tcPr>
            <w:tcW w:w="2515" w:type="dxa"/>
          </w:tcPr>
          <w:p w:rsidR="00CA1384" w:rsidRPr="00CA1384" w:rsidRDefault="00CA1384" w:rsidP="009D2B03">
            <w:pPr>
              <w:spacing w:line="360" w:lineRule="auto"/>
              <w:rPr>
                <w:b/>
              </w:rPr>
            </w:pPr>
            <w:r w:rsidRPr="00CA1384">
              <w:rPr>
                <w:b/>
              </w:rPr>
              <w:t xml:space="preserve">Potential Complications </w:t>
            </w:r>
          </w:p>
        </w:tc>
        <w:tc>
          <w:tcPr>
            <w:tcW w:w="6835" w:type="dxa"/>
          </w:tcPr>
          <w:p w:rsidR="00C2239E" w:rsidRDefault="00C2239E" w:rsidP="00C2239E">
            <w:pPr>
              <w:pStyle w:val="ListParagraph"/>
              <w:numPr>
                <w:ilvl w:val="0"/>
                <w:numId w:val="3"/>
              </w:numPr>
              <w:spacing w:line="360" w:lineRule="auto"/>
            </w:pPr>
            <w:r>
              <w:t>Block failure.</w:t>
            </w:r>
          </w:p>
          <w:p w:rsidR="00C84768" w:rsidRDefault="00C2239E" w:rsidP="00C2239E">
            <w:pPr>
              <w:pStyle w:val="ListParagraph"/>
              <w:numPr>
                <w:ilvl w:val="0"/>
                <w:numId w:val="3"/>
              </w:numPr>
              <w:spacing w:line="360" w:lineRule="auto"/>
            </w:pPr>
            <w:r>
              <w:t xml:space="preserve">Inadvertent penetration of the </w:t>
            </w:r>
            <w:proofErr w:type="spellStart"/>
            <w:r>
              <w:t>turbinates</w:t>
            </w:r>
            <w:proofErr w:type="spellEnd"/>
            <w:r>
              <w:t xml:space="preserve"> or the meninges surrounding the opt</w:t>
            </w:r>
            <w:r>
              <w:t xml:space="preserve">ic nerve can lead to severe </w:t>
            </w:r>
            <w:r>
              <w:t>CNS local anesthetic toxicity (hyper-excitability, seizures, cardiac and respiratory arrest</w:t>
            </w:r>
            <w:r>
              <w:t>)</w:t>
            </w:r>
          </w:p>
        </w:tc>
      </w:tr>
    </w:tbl>
    <w:p w:rsidR="0070518C" w:rsidRDefault="0070518C"/>
    <w:sectPr w:rsidR="0070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990"/>
    <w:multiLevelType w:val="hybridMultilevel"/>
    <w:tmpl w:val="2462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455"/>
    <w:multiLevelType w:val="hybridMultilevel"/>
    <w:tmpl w:val="A0B4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F1F0A"/>
    <w:multiLevelType w:val="hybridMultilevel"/>
    <w:tmpl w:val="478C4CC2"/>
    <w:lvl w:ilvl="0" w:tplc="45E0164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7EB2"/>
    <w:multiLevelType w:val="hybridMultilevel"/>
    <w:tmpl w:val="699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C012D"/>
    <w:multiLevelType w:val="hybridMultilevel"/>
    <w:tmpl w:val="AB0C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43BAD"/>
    <w:multiLevelType w:val="hybridMultilevel"/>
    <w:tmpl w:val="419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03"/>
    <w:rsid w:val="003C2FAA"/>
    <w:rsid w:val="0047223F"/>
    <w:rsid w:val="0070518C"/>
    <w:rsid w:val="00826565"/>
    <w:rsid w:val="009D2B03"/>
    <w:rsid w:val="00C2239E"/>
    <w:rsid w:val="00C84768"/>
    <w:rsid w:val="00CA1384"/>
    <w:rsid w:val="00DB4C87"/>
    <w:rsid w:val="00FD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882F"/>
  <w15:chartTrackingRefBased/>
  <w15:docId w15:val="{0109DB1D-4AFF-4BC5-BE23-6DAE3DE2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Danielle-Marie De Gannes</dc:creator>
  <cp:keywords/>
  <dc:description/>
  <cp:lastModifiedBy>Danielle-Marie De Gannes</cp:lastModifiedBy>
  <cp:revision>3</cp:revision>
  <dcterms:created xsi:type="dcterms:W3CDTF">2021-10-25T00:07:00Z</dcterms:created>
  <dcterms:modified xsi:type="dcterms:W3CDTF">2021-10-25T01:54:00Z</dcterms:modified>
</cp:coreProperties>
</file>