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45" w:rsidRPr="00F079AB" w:rsidRDefault="00E04056">
      <w:pPr>
        <w:rPr>
          <w:lang w:val="en-US"/>
        </w:rPr>
      </w:pPr>
      <w:proofErr w:type="spellStart"/>
      <w:r>
        <w:t>Oppel</w:t>
      </w:r>
      <w:proofErr w:type="spellEnd"/>
      <w:r>
        <w:t xml:space="preserve">, A. (2009). </w:t>
      </w:r>
      <w:r>
        <w:rPr>
          <w:i/>
          <w:iCs/>
        </w:rPr>
        <w:t>FUNDAMENTOS DE BASES DE DATOS</w:t>
      </w:r>
      <w:r>
        <w:t xml:space="preserve">. </w:t>
      </w:r>
      <w:r w:rsidRPr="00F079AB">
        <w:rPr>
          <w:lang w:val="en-US"/>
        </w:rPr>
        <w:t>McGraw-Hill Education.</w:t>
      </w:r>
    </w:p>
    <w:p w:rsidR="00E04056" w:rsidRDefault="00E04056">
      <w:proofErr w:type="spellStart"/>
      <w:r w:rsidRPr="00F079AB">
        <w:rPr>
          <w:lang w:val="en-US"/>
        </w:rPr>
        <w:t>Batini</w:t>
      </w:r>
      <w:proofErr w:type="spellEnd"/>
      <w:r w:rsidRPr="00F079AB">
        <w:rPr>
          <w:lang w:val="en-US"/>
        </w:rPr>
        <w:t xml:space="preserve">, C., </w:t>
      </w:r>
      <w:proofErr w:type="spellStart"/>
      <w:r w:rsidRPr="00F079AB">
        <w:rPr>
          <w:lang w:val="en-US"/>
        </w:rPr>
        <w:t>Navathe</w:t>
      </w:r>
      <w:proofErr w:type="spellEnd"/>
      <w:r w:rsidRPr="00F079AB">
        <w:rPr>
          <w:lang w:val="en-US"/>
        </w:rPr>
        <w:t xml:space="preserve">, S. B., &amp; </w:t>
      </w:r>
      <w:proofErr w:type="spellStart"/>
      <w:r w:rsidRPr="00F079AB">
        <w:rPr>
          <w:lang w:val="en-US"/>
        </w:rPr>
        <w:t>Ceri</w:t>
      </w:r>
      <w:proofErr w:type="spellEnd"/>
      <w:r w:rsidRPr="00F079AB">
        <w:rPr>
          <w:lang w:val="en-US"/>
        </w:rPr>
        <w:t xml:space="preserve">, S. (1994). </w:t>
      </w:r>
      <w:r w:rsidRPr="00E04056">
        <w:t>Diseño Conceptual de Bases de Datos: Un Enfoque de Entidades-interrelaciones. Addison-Wesley.</w:t>
      </w:r>
    </w:p>
    <w:p w:rsidR="00E04056" w:rsidRDefault="00E04056">
      <w:proofErr w:type="spellStart"/>
      <w:r w:rsidRPr="00E04056">
        <w:t>Elmasri</w:t>
      </w:r>
      <w:proofErr w:type="spellEnd"/>
      <w:r w:rsidRPr="00E04056">
        <w:t xml:space="preserve">, R., &amp; </w:t>
      </w:r>
      <w:proofErr w:type="spellStart"/>
      <w:r w:rsidRPr="00E04056">
        <w:t>Navathe</w:t>
      </w:r>
      <w:proofErr w:type="spellEnd"/>
      <w:r w:rsidRPr="00E04056">
        <w:t>, S. B. (2007). Fundamentos de sistemas de bases de datos. Pearson Educación.</w:t>
      </w:r>
    </w:p>
    <w:p w:rsidR="00F079AB" w:rsidRDefault="00F079AB">
      <w:r w:rsidRPr="00F079AB">
        <w:t>León, T. S. (2023). Modelos de datos y visión conceptual de una base de datos (UF2213).</w:t>
      </w:r>
    </w:p>
    <w:p w:rsidR="00F079AB" w:rsidRDefault="00F079AB">
      <w:r w:rsidRPr="00F079AB">
        <w:t>Millán, M. E. (2012). Fundamentos de bases de datos: notas de referencia. Alianza Editorial.</w:t>
      </w:r>
      <w:bookmarkStart w:id="0" w:name="_GoBack"/>
      <w:bookmarkEnd w:id="0"/>
    </w:p>
    <w:sectPr w:rsidR="00F079AB" w:rsidSect="00E0405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6"/>
    <w:rsid w:val="00486845"/>
    <w:rsid w:val="00E04056"/>
    <w:rsid w:val="00F0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2620A-5B1F-4C02-B416-BC370576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056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2</cp:revision>
  <dcterms:created xsi:type="dcterms:W3CDTF">2023-02-14T05:37:00Z</dcterms:created>
  <dcterms:modified xsi:type="dcterms:W3CDTF">2023-03-06T01:16:00Z</dcterms:modified>
</cp:coreProperties>
</file>